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仿宋" w:hAnsi="仿宋" w:eastAsia="仿宋" w:cs="仿宋"/>
          <w:b/>
          <w:sz w:val="36"/>
          <w:szCs w:val="36"/>
        </w:rPr>
      </w:pPr>
      <w:r>
        <w:rPr>
          <w:rFonts w:hint="eastAsia" w:ascii="仿宋" w:hAnsi="仿宋" w:eastAsia="仿宋" w:cs="仿宋"/>
          <w:b/>
          <w:sz w:val="36"/>
          <w:szCs w:val="36"/>
        </w:rPr>
        <w:t>海胶集团森林监测报告</w:t>
      </w:r>
    </w:p>
    <w:p>
      <w:pPr>
        <w:ind w:firstLine="560" w:firstLineChars="200"/>
        <w:rPr>
          <w:sz w:val="28"/>
        </w:rPr>
      </w:pPr>
    </w:p>
    <w:p>
      <w:pPr>
        <w:spacing w:line="360" w:lineRule="auto"/>
        <w:ind w:firstLine="480" w:firstLineChars="200"/>
        <w:jc w:val="left"/>
        <w:rPr>
          <w:rFonts w:ascii="仿宋" w:hAnsi="仿宋" w:eastAsia="仿宋" w:cs="仿宋"/>
          <w:sz w:val="24"/>
          <w:szCs w:val="24"/>
        </w:rPr>
      </w:pPr>
      <w:r>
        <w:rPr>
          <w:rFonts w:hint="eastAsia" w:ascii="仿宋" w:hAnsi="仿宋" w:eastAsia="仿宋" w:cs="仿宋"/>
          <w:sz w:val="24"/>
          <w:szCs w:val="24"/>
        </w:rPr>
        <w:t>为了提高森林经营管理水平，进一步完善经营管理措施，确保森林经营可持续发展，公司根据FSC</w:t>
      </w:r>
      <w:r>
        <w:rPr>
          <w:rFonts w:hint="eastAsia" w:ascii="仿宋" w:hAnsi="仿宋" w:eastAsia="仿宋" w:cs="仿宋"/>
          <w:sz w:val="24"/>
          <w:szCs w:val="24"/>
          <w:vertAlign w:val="superscript"/>
        </w:rPr>
        <w:t>®</w:t>
      </w:r>
      <w:r>
        <w:rPr>
          <w:rFonts w:hint="eastAsia" w:ascii="仿宋" w:hAnsi="仿宋" w:eastAsia="仿宋" w:cs="仿宋"/>
          <w:sz w:val="24"/>
          <w:szCs w:val="24"/>
        </w:rPr>
        <w:t>森林认证的相关要求，结合自身经营实际制定了《森林监测管理程序》（HNJX-FSC</w:t>
      </w:r>
      <w:r>
        <w:rPr>
          <w:rFonts w:hint="eastAsia" w:ascii="仿宋" w:hAnsi="仿宋" w:eastAsia="仿宋" w:cs="仿宋"/>
          <w:sz w:val="24"/>
          <w:szCs w:val="24"/>
          <w:vertAlign w:val="superscript"/>
        </w:rPr>
        <w:t>®</w:t>
      </w:r>
      <w:r>
        <w:rPr>
          <w:rFonts w:hint="eastAsia" w:ascii="仿宋" w:hAnsi="仿宋" w:eastAsia="仿宋" w:cs="仿宋"/>
          <w:sz w:val="24"/>
          <w:szCs w:val="24"/>
        </w:rPr>
        <w:t>/FM-JYSC017-2020），通过对林木生长、非木质林产品、造林、抚育、采伐、森林管护、防火、病虫害、自然灾害、经营规划执行、经济效益、职工权益、环境影响、社会影响、土壤、水源、生物多样性、高保护价值、产销监管链等因子的日常调查、定点监测及相关检查，综合形成监测报告。</w:t>
      </w:r>
    </w:p>
    <w:p>
      <w:pPr>
        <w:spacing w:line="360" w:lineRule="auto"/>
        <w:ind w:firstLine="480" w:firstLineChars="200"/>
        <w:jc w:val="left"/>
        <w:rPr>
          <w:rFonts w:ascii="仿宋" w:hAnsi="仿宋" w:eastAsia="仿宋" w:cs="仿宋"/>
          <w:sz w:val="24"/>
          <w:szCs w:val="24"/>
        </w:rPr>
      </w:pPr>
      <w:r>
        <w:rPr>
          <w:rFonts w:hint="eastAsia" w:ascii="仿宋" w:hAnsi="仿宋" w:eastAsia="仿宋" w:cs="仿宋"/>
          <w:sz w:val="24"/>
          <w:szCs w:val="24"/>
        </w:rPr>
        <w:t>海胶集团森林认证工作小组于2025年1月至2026年4月初在参加FSC</w:t>
      </w:r>
      <w:r>
        <w:rPr>
          <w:rFonts w:hint="eastAsia" w:ascii="仿宋" w:hAnsi="仿宋" w:eastAsia="仿宋" w:cs="仿宋"/>
          <w:sz w:val="24"/>
          <w:szCs w:val="24"/>
          <w:vertAlign w:val="superscript"/>
        </w:rPr>
        <w:t>®</w:t>
      </w:r>
      <w:r>
        <w:rPr>
          <w:rFonts w:hint="eastAsia" w:ascii="仿宋" w:hAnsi="仿宋" w:eastAsia="仿宋" w:cs="仿宋"/>
          <w:sz w:val="24"/>
          <w:szCs w:val="24"/>
        </w:rPr>
        <w:t>森林认证的西联、八一、西培、白沙、龙江、邦溪、红林、广坝、阳江、乌石、长征、加钗、中坤、西达等14家基地分公司的认证林地范围开展了监测调查，并将调查结果报告如下。</w:t>
      </w:r>
    </w:p>
    <w:p>
      <w:pPr>
        <w:spacing w:line="360" w:lineRule="auto"/>
        <w:ind w:firstLine="643" w:firstLineChars="200"/>
        <w:jc w:val="left"/>
        <w:rPr>
          <w:rFonts w:ascii="仿宋" w:hAnsi="仿宋" w:eastAsia="仿宋" w:cs="仿宋"/>
          <w:sz w:val="24"/>
          <w:szCs w:val="24"/>
        </w:rPr>
      </w:pPr>
      <w:r>
        <w:rPr>
          <w:rFonts w:hint="eastAsia" w:ascii="仿宋" w:hAnsi="仿宋" w:eastAsia="仿宋" w:cs="仿宋"/>
          <w:b/>
          <w:bCs/>
          <w:sz w:val="32"/>
          <w:szCs w:val="32"/>
        </w:rPr>
        <w:t>一、自然环境概况</w:t>
      </w:r>
    </w:p>
    <w:p>
      <w:pPr>
        <w:spacing w:line="360" w:lineRule="auto"/>
        <w:ind w:firstLine="480" w:firstLineChars="200"/>
        <w:jc w:val="left"/>
        <w:rPr>
          <w:rFonts w:ascii="仿宋" w:hAnsi="仿宋" w:eastAsia="仿宋" w:cs="仿宋"/>
          <w:sz w:val="24"/>
          <w:szCs w:val="24"/>
        </w:rPr>
      </w:pPr>
      <w:r>
        <w:rPr>
          <w:rFonts w:hint="eastAsia" w:ascii="仿宋" w:hAnsi="仿宋" w:eastAsia="仿宋" w:cs="仿宋"/>
          <w:sz w:val="24"/>
          <w:szCs w:val="24"/>
        </w:rPr>
        <w:t>海胶集团FSC</w:t>
      </w:r>
      <w:r>
        <w:rPr>
          <w:rFonts w:hint="eastAsia" w:ascii="仿宋" w:hAnsi="仿宋" w:eastAsia="仿宋" w:cs="仿宋"/>
          <w:sz w:val="24"/>
          <w:szCs w:val="24"/>
          <w:vertAlign w:val="superscript"/>
        </w:rPr>
        <w:t>®</w:t>
      </w:r>
      <w:r>
        <w:rPr>
          <w:rFonts w:hint="eastAsia" w:ascii="仿宋" w:hAnsi="仿宋" w:eastAsia="仿宋" w:cs="仿宋"/>
          <w:sz w:val="24"/>
          <w:szCs w:val="24"/>
        </w:rPr>
        <w:t>森林经营林地面积102872.9公顷，主要分布在海南省儋州市、东方市、屯昌县、澄迈县、白沙黎族自治县、昌江黎族自治县、琼中黎族苗族自治县。海南地处热带，属于热带季风气候，高温多雨，干湿季明显，终年无霜，四季如春。年平均日照1750—2650小时，西南部最多，中部山区最少。年平均气温22—26℃，中部山区较低，西南部较高。年平均降雨量1500—2000毫米，东湿西干明显。海南岛土壤分布受地形影响，沿海阶地一般为滨海沙土，丘陵、平原主要是砖红壤，山地由低往高，依次为赤红壤、赤壤、山地灌丛草甸土，土层厚度一般都在一米以上，养分较为丰富。海南地势平缓，土壤深厚，再加上高温多雨，湿热同期，气候优越，非常适合林木生长，是我国林业发展最具优势的区域。</w:t>
      </w:r>
    </w:p>
    <w:p>
      <w:pPr>
        <w:spacing w:line="360" w:lineRule="auto"/>
        <w:ind w:firstLine="480" w:firstLineChars="200"/>
        <w:jc w:val="left"/>
        <w:rPr>
          <w:rFonts w:ascii="仿宋" w:hAnsi="仿宋" w:eastAsia="仿宋" w:cs="仿宋"/>
          <w:sz w:val="24"/>
          <w:szCs w:val="24"/>
        </w:rPr>
      </w:pPr>
      <w:r>
        <w:rPr>
          <w:rFonts w:hint="eastAsia" w:ascii="仿宋" w:hAnsi="仿宋" w:eastAsia="仿宋" w:cs="仿宋"/>
          <w:sz w:val="24"/>
          <w:szCs w:val="24"/>
        </w:rPr>
        <w:t>西联分公司位于海南省儋州市市郊，毗邻洋浦经济开发区，辖区位于东经109°26′24″～109°44′41″，北纬19°20′42″～19°51′06″之间，北至儋州市东成镇，南接儋州市那大镇，东邻国营西流农场，西隔牙拉河，为国营西庆农场、华南热作"两院"试验农场，中部为洛基镇分隔。总部地理坐标东经109°33′35″、北纬19°34′12″，邻近洛南村，距省会海口市120公里，距西线高速公路入口处22公里。西联分公司境内地势南高北低，最高点为大吉岭海拔183米。地形以台地为主，坡度多在10～15度以下。西联分公司处于东亚大陆季风气候的南缘，属热带湿润季风气候，年平均气温23.3℃，月平均气温最高的6、7月约为27.7℃，最低的1月约16.9℃，极端高温40.3℃，极端低温1.1℃。年平均降水量1584毫米，5～10月为雨季，雨季降雨量占全年的85%，11月～次年4月为旱季。年日照时长为2239小时。分公司所在区域常年主导风向为东北风，风力在4 级；台风影响重，年均三次，历史最大风力13级。西联分公司境内河溪较多，但流量不大，东南部有加朗河，东北部有石牌河。松涛东干渠那大分干及其支渠纵贯场区，渠网密布，并建有水电站，用水用电方便。西联分公司境内土壤以花岗岩发育的砖红壤为主，土层深厚，质地偏粘；有机质层16.5～25cm以上，风化层60～10cm以上；有机质含量1.730±0.994％，全氮含量0.074±0.055％，碱解氮含量84.512±41.54 PPM，三者属中等以上水平，能满足植物生长的需要；但土壤普遍缺磷和钾，速效磷含量9.550±12.34 PPM，速效钾含量70.752±75.622 PPM。</w:t>
      </w:r>
    </w:p>
    <w:p>
      <w:pPr>
        <w:spacing w:line="360" w:lineRule="auto"/>
        <w:ind w:firstLine="480" w:firstLineChars="200"/>
        <w:jc w:val="left"/>
        <w:rPr>
          <w:rFonts w:ascii="仿宋" w:hAnsi="仿宋" w:eastAsia="仿宋" w:cs="仿宋"/>
          <w:sz w:val="24"/>
          <w:szCs w:val="24"/>
        </w:rPr>
      </w:pPr>
      <w:r>
        <w:rPr>
          <w:rFonts w:hint="eastAsia" w:ascii="仿宋" w:hAnsi="仿宋" w:eastAsia="仿宋" w:cs="仿宋"/>
          <w:sz w:val="24"/>
          <w:szCs w:val="24"/>
        </w:rPr>
        <w:t>八一分公司位于</w:t>
      </w:r>
      <w:r>
        <w:fldChar w:fldCharType="begin"/>
      </w:r>
      <w:r>
        <w:instrText xml:space="preserve"> HYPERLINK "https://baike.baidu.com/item/%E5%84%8B%E5%B7%9E%E5%B8%82" \t "https://baike.baidu.com/item/%E5%85%AB%E4%B8%80%E5%86%9C%E5%9C%BA/_blank" </w:instrText>
      </w:r>
      <w:r>
        <w:fldChar w:fldCharType="separate"/>
      </w:r>
      <w:r>
        <w:rPr>
          <w:rFonts w:hint="eastAsia" w:ascii="仿宋" w:hAnsi="仿宋" w:eastAsia="仿宋" w:cs="仿宋"/>
          <w:sz w:val="24"/>
          <w:szCs w:val="24"/>
        </w:rPr>
        <w:t>儋州市</w:t>
      </w:r>
      <w:r>
        <w:rPr>
          <w:rFonts w:hint="eastAsia" w:ascii="仿宋" w:hAnsi="仿宋" w:eastAsia="仿宋" w:cs="仿宋"/>
          <w:sz w:val="24"/>
          <w:szCs w:val="24"/>
        </w:rPr>
        <w:fldChar w:fldCharType="end"/>
      </w:r>
      <w:r>
        <w:rPr>
          <w:rFonts w:hint="eastAsia" w:ascii="仿宋" w:hAnsi="仿宋" w:eastAsia="仿宋" w:cs="仿宋"/>
          <w:sz w:val="24"/>
          <w:szCs w:val="24"/>
        </w:rPr>
        <w:t>西南部，辖区位于东经109°03′52″～109°26′44″，北纬19°20′45″～19°38′08″之间，东部与国营西华农场和国营西培农场接壤，南接国营珠碧江农场、国营卫星农场，西邻芙蓉田农场，西北部与</w:t>
      </w:r>
      <w:r>
        <w:fldChar w:fldCharType="begin"/>
      </w:r>
      <w:r>
        <w:instrText xml:space="preserve"> HYPERLINK "https://baike.baidu.com/item/%E5%AF%8C%E5%85%8B%E9%95%87/8509377" \t "https://baike.baidu.com/item/%E5%85%AB%E4%B8%80%E5%86%9C%E5%9C%BA/_blank" </w:instrText>
      </w:r>
      <w:r>
        <w:fldChar w:fldCharType="separate"/>
      </w:r>
      <w:r>
        <w:rPr>
          <w:rFonts w:hint="eastAsia" w:ascii="仿宋" w:hAnsi="仿宋" w:eastAsia="仿宋" w:cs="仿宋"/>
          <w:sz w:val="24"/>
          <w:szCs w:val="24"/>
        </w:rPr>
        <w:t>海头镇</w:t>
      </w:r>
      <w:r>
        <w:rPr>
          <w:rFonts w:hint="eastAsia" w:ascii="仿宋" w:hAnsi="仿宋" w:eastAsia="仿宋" w:cs="仿宋"/>
          <w:sz w:val="24"/>
          <w:szCs w:val="24"/>
        </w:rPr>
        <w:fldChar w:fldCharType="end"/>
      </w:r>
      <w:r>
        <w:rPr>
          <w:rFonts w:hint="eastAsia" w:ascii="仿宋" w:hAnsi="仿宋" w:eastAsia="仿宋" w:cs="仿宋"/>
          <w:sz w:val="24"/>
          <w:szCs w:val="24"/>
        </w:rPr>
        <w:t>毗邻，北部与排浦镇为邻，东北抵春江水库和水鸣江，中部为雅星镇分隔。东西宽约40公里，南北长约33公里。总部地理坐标东经109°18′19″、北纬19°27′10″，沿海榆西线公路北距儋州市31公里、洋浦港91公里；地势东南高西北低。在中、北部地区，除一些孤丘外，坡度多在8度以下，大部分适宜机械作业；南部丘陵连绵，坡度多在10～15度以下。气候属热带季风气候，干、湿季节各占半年，远离台风登陆点，风害较轻微。气候四季宜人，年平均气温23.6℃，一月份平均气温17.3℃，七月份平均气温27.5℃。雨量充沛，年平均降雨量1704.7毫米。境内溪沟多数水量不大，旱季常有断流。南部属珠碧江及其支流打施河流域，较大的河溪有香岭沟、和盛沟、打尚沟3条，均由东北向西南汇入珠碧江，然后向西经海头港出海；北部属水鸣江流域，主要河溪有富洋河、飞巴河、打老沟等，但水量较少。土壤以花岗岩发育的砖红壤为主，土层深厚，质地偏粘；有机质层16.5～25cm以上，风化层60～10cm以上；有机质含量1.730±0.994％，全氮含量0.074±0.055％，碱解氮含量84.512±41.54 PPM，三者属中等以上水平，能满足植物生长的需要；但土壤普遍缺磷和钾，速效磷含量9.550±12.34 PPM，速效钾含量70.752±75.622 PPM。</w:t>
      </w:r>
    </w:p>
    <w:p>
      <w:pPr>
        <w:spacing w:line="360" w:lineRule="auto"/>
        <w:ind w:firstLine="480" w:firstLineChars="200"/>
        <w:jc w:val="left"/>
        <w:rPr>
          <w:rFonts w:ascii="仿宋" w:hAnsi="仿宋" w:eastAsia="仿宋" w:cs="仿宋"/>
          <w:sz w:val="24"/>
          <w:szCs w:val="24"/>
        </w:rPr>
      </w:pPr>
      <w:r>
        <w:rPr>
          <w:rFonts w:hint="eastAsia" w:ascii="仿宋" w:hAnsi="仿宋" w:eastAsia="仿宋" w:cs="仿宋"/>
          <w:sz w:val="24"/>
          <w:szCs w:val="24"/>
        </w:rPr>
        <w:t>西培分公司位于</w:t>
      </w:r>
      <w:r>
        <w:fldChar w:fldCharType="begin"/>
      </w:r>
      <w:r>
        <w:instrText xml:space="preserve"> HYPERLINK "https://baike.baidu.com/item/%E5%84%8B%E5%B7%9E%E5%B8%82" \t "https://baike.baidu.com/item/%E5%85%AB%E4%B8%80%E5%86%9C%E5%9C%BA/_blank" </w:instrText>
      </w:r>
      <w:r>
        <w:fldChar w:fldCharType="separate"/>
      </w:r>
      <w:r>
        <w:rPr>
          <w:rFonts w:hint="eastAsia" w:ascii="仿宋" w:hAnsi="仿宋" w:eastAsia="仿宋" w:cs="仿宋"/>
          <w:sz w:val="24"/>
          <w:szCs w:val="24"/>
        </w:rPr>
        <w:t>儋州市</w:t>
      </w:r>
      <w:r>
        <w:rPr>
          <w:rFonts w:hint="eastAsia" w:ascii="仿宋" w:hAnsi="仿宋" w:eastAsia="仿宋" w:cs="仿宋"/>
          <w:sz w:val="24"/>
          <w:szCs w:val="24"/>
        </w:rPr>
        <w:fldChar w:fldCharType="end"/>
      </w:r>
      <w:r>
        <w:rPr>
          <w:rFonts w:hint="eastAsia" w:ascii="仿宋" w:hAnsi="仿宋" w:eastAsia="仿宋" w:cs="仿宋"/>
          <w:sz w:val="24"/>
          <w:szCs w:val="24"/>
        </w:rPr>
        <w:t>南部，辖区位于东经109°18′10″～109°29′26″，北纬19°23′27″～19°37′18″之间，东西宽约19公里，南北长约27公里。总部地理坐标东经109°27′13″、北纬19°28′37″，沿海榆西线公路东距儋州市15公里，沿万洋高速西北距洋浦港45公里；地势东南高西北低。在东、西、北部地区，除一些孤丘外，坡度多在8度以下，大部分适宜机械作业；南部靠白沙县一带丘陵连绵，坡度多在10～15度以下。气候属热带季风气候，干、湿季节各占半年，远离台风登陆点，风害较轻微。气候四季宜人，年平均气温23.5℃，一月份平均气温17.2℃，七月份平均气温27.3℃。雨量充沛，年平均降雨量1572〜1886毫米。境内溪沟多数水量不大，旱季流量少。东南部有牙拉河流域，从南向东北流入云月湖。东北有牙拉河及其支流巴黎河，水量丰富，从南向北流入天角潭水库。西部属水鸣江流域，但水量较少，从东南向西北经西华农场流入春江水库。土壤以花岗岩发育的砖红壤为主，土层深厚，质地偏粘；有机质层16.5～25cm以上，风化层60～10cm以上；有机质含量1.730±0.994％，全氮含量0.074±0.055％，碱解氮含量84.512±41.54 PPM，三者属中等以上水平，能满足植物生长的需要；但土壤普遍缺磷和钾，速效磷含量9.550±12.34 PPM，速效钾含量70.752±75.622 PPM。</w:t>
      </w:r>
    </w:p>
    <w:p>
      <w:pPr>
        <w:spacing w:line="360" w:lineRule="auto"/>
        <w:ind w:firstLine="480" w:firstLineChars="200"/>
        <w:jc w:val="left"/>
        <w:rPr>
          <w:rFonts w:ascii="仿宋" w:hAnsi="仿宋" w:eastAsia="仿宋" w:cs="仿宋"/>
          <w:sz w:val="24"/>
          <w:szCs w:val="24"/>
        </w:rPr>
      </w:pPr>
      <w:r>
        <w:rPr>
          <w:rFonts w:hint="eastAsia" w:ascii="仿宋" w:hAnsi="仿宋" w:eastAsia="仿宋" w:cs="仿宋"/>
          <w:sz w:val="24"/>
          <w:szCs w:val="24"/>
        </w:rPr>
        <w:t>白沙分公司位于白沙黎族自治县牙叉镇境内，地处黎母山脉中段西北麓 、南渡江区域，东邻琼中，南交乐东，西接昌江，北抵儋县，全省最大水库松涛水库上游，境内溪流纵横，土质肥沃，自然资源较丰富，适宜种植橡胶、茶叶等。白沙分公司山高云雾多，日照时数虽比岛内大部分县少些，但年平均还达2000小时以上，日照率45~47%，日照变化小，最长13.17小时，最短10.59小时。年平均降雨量1725毫米，山区气候特点突出。由于境内地形复杂，东南部多雨，西北部少雨。雨量主要集中在每年的5至10月份，占全年降雨量的85%。每年1月份至翌年4月为旱季，雨量仅占全年雨量的15%。干、湿季节明显。</w:t>
      </w:r>
    </w:p>
    <w:p>
      <w:pPr>
        <w:spacing w:line="360" w:lineRule="auto"/>
        <w:ind w:firstLine="480" w:firstLineChars="200"/>
        <w:jc w:val="left"/>
        <w:rPr>
          <w:rFonts w:ascii="仿宋" w:hAnsi="仿宋" w:eastAsia="仿宋" w:cs="仿宋"/>
          <w:sz w:val="24"/>
          <w:szCs w:val="24"/>
        </w:rPr>
      </w:pPr>
      <w:r>
        <w:rPr>
          <w:rFonts w:hint="eastAsia" w:ascii="仿宋" w:hAnsi="仿宋" w:eastAsia="仿宋" w:cs="仿宋"/>
          <w:sz w:val="24"/>
          <w:szCs w:val="24"/>
        </w:rPr>
        <w:t>龙江分公司位于海南省白沙县内，辖区位于东经109°09′25″，北纬19°15′25″之间，东部与国营白沙农场接壤，南接光雅镇，西邻邦溪农场，北邻八一农场。气候属热带季风气候，干、湿季节各占半年，远离台风登陆点，风害较轻微。气候四季宜人，年平均气温24.6℃，一月份平均气温18.3℃，七月份平均气温28.5℃。雨量充沛，年平均降雨量1704.7毫米。土壤以花岗岩发育的砖红壤为主，土层深厚，质地偏粘。</w:t>
      </w:r>
    </w:p>
    <w:p>
      <w:pPr>
        <w:spacing w:line="360" w:lineRule="auto"/>
        <w:ind w:firstLine="480" w:firstLineChars="200"/>
        <w:jc w:val="left"/>
        <w:rPr>
          <w:rFonts w:ascii="仿宋" w:hAnsi="仿宋" w:eastAsia="仿宋" w:cs="仿宋"/>
          <w:sz w:val="24"/>
          <w:szCs w:val="24"/>
        </w:rPr>
      </w:pPr>
      <w:r>
        <w:rPr>
          <w:rFonts w:hint="eastAsia" w:ascii="仿宋" w:hAnsi="仿宋" w:eastAsia="仿宋" w:cs="仿宋"/>
          <w:sz w:val="24"/>
          <w:szCs w:val="24"/>
        </w:rPr>
        <w:t>邦溪分公司组建于2005年4月，位于白沙黎族自治县西北部，地处海南岛西部，海榆西线公路、环岛高速公路及白沙出口路、粤海铁路均贯穿分公司，交通运输较为便利。邦溪分公司地处</w:t>
      </w:r>
      <w:r>
        <w:fldChar w:fldCharType="begin"/>
      </w:r>
      <w:r>
        <w:instrText xml:space="preserve"> HYPERLINK "https://baike.so.com/doc/4511006-5568681.html" \t "https://baike.so.com/doc/_blank" </w:instrText>
      </w:r>
      <w:r>
        <w:fldChar w:fldCharType="separate"/>
      </w:r>
      <w:r>
        <w:rPr>
          <w:rFonts w:hint="eastAsia" w:ascii="仿宋" w:hAnsi="仿宋" w:eastAsia="仿宋" w:cs="仿宋"/>
          <w:sz w:val="24"/>
          <w:szCs w:val="24"/>
        </w:rPr>
        <w:t>海南岛</w:t>
      </w:r>
      <w:r>
        <w:rPr>
          <w:rFonts w:hint="eastAsia" w:ascii="仿宋" w:hAnsi="仿宋" w:eastAsia="仿宋" w:cs="仿宋"/>
          <w:sz w:val="24"/>
          <w:szCs w:val="24"/>
        </w:rPr>
        <w:fldChar w:fldCharType="end"/>
      </w:r>
      <w:r>
        <w:rPr>
          <w:rFonts w:hint="eastAsia" w:ascii="仿宋" w:hAnsi="仿宋" w:eastAsia="仿宋" w:cs="仿宋"/>
          <w:sz w:val="24"/>
          <w:szCs w:val="24"/>
        </w:rPr>
        <w:t>西部，属滨海西南热带干旱的白沙盆地丘陵区。地形差异不大，大致呈东高西低趋势，由于东南面有高山屏护，阻挡了来自海洋的热带风暴和台风的侵袭。场区年平均温度24℃，最高月6月份均气温为28℃，最低1月份均气温为18℃。极端最高气温40'C，极端最低气温为2℃。年均降雨量东部为1800毫米左右，西部为1500毫米左右，年内降雨量分布不匀，雨季集中在7、8、9月份，分公司北界有</w:t>
      </w:r>
      <w:r>
        <w:fldChar w:fldCharType="begin"/>
      </w:r>
      <w:r>
        <w:instrText xml:space="preserve"> HYPERLINK "https://baike.so.com/doc/1294560-1368736.html" \t "https://baike.so.com/doc/_blank" </w:instrText>
      </w:r>
      <w:r>
        <w:fldChar w:fldCharType="separate"/>
      </w:r>
      <w:r>
        <w:rPr>
          <w:rFonts w:hint="eastAsia" w:ascii="仿宋" w:hAnsi="仿宋" w:eastAsia="仿宋" w:cs="仿宋"/>
          <w:sz w:val="24"/>
          <w:szCs w:val="24"/>
        </w:rPr>
        <w:t>珠碧江</w:t>
      </w:r>
      <w:r>
        <w:rPr>
          <w:rFonts w:hint="eastAsia" w:ascii="仿宋" w:hAnsi="仿宋" w:eastAsia="仿宋" w:cs="仿宋"/>
          <w:sz w:val="24"/>
          <w:szCs w:val="24"/>
        </w:rPr>
        <w:fldChar w:fldCharType="end"/>
      </w:r>
      <w:r>
        <w:rPr>
          <w:rFonts w:hint="eastAsia" w:ascii="仿宋" w:hAnsi="仿宋" w:eastAsia="仿宋" w:cs="仿宋"/>
          <w:sz w:val="24"/>
          <w:szCs w:val="24"/>
        </w:rPr>
        <w:t>，东西部各有一座水库--木棉水库和黄沟岭水库，有利于缓解干旱年旱情。总的来看，分公司轻风轻寒，土地较肥沃，气热、水条件较好，具备较优良的植胶及发展其它热带作物的环境。</w:t>
      </w:r>
      <w:bookmarkStart w:id="0" w:name="25254764-26257126-3"/>
      <w:bookmarkEnd w:id="0"/>
    </w:p>
    <w:p>
      <w:pPr>
        <w:spacing w:line="360" w:lineRule="auto"/>
        <w:ind w:firstLine="480" w:firstLineChars="200"/>
        <w:jc w:val="left"/>
        <w:rPr>
          <w:rFonts w:ascii="仿宋" w:hAnsi="仿宋" w:eastAsia="仿宋" w:cs="仿宋"/>
          <w:sz w:val="24"/>
          <w:szCs w:val="24"/>
        </w:rPr>
      </w:pPr>
      <w:r>
        <w:rPr>
          <w:rFonts w:hint="eastAsia" w:ascii="仿宋" w:hAnsi="仿宋" w:eastAsia="仿宋" w:cs="仿宋"/>
          <w:sz w:val="24"/>
          <w:szCs w:val="24"/>
        </w:rPr>
        <w:t>红林分公司位于昌江县西南部，辖区地处东经108°38°～109°17°，北纬18°53°～19°30°，东连白沙，南倚乐东，西南与东方以昌化江为界对峙，西北濒临北部湾，东北隔珠碧江同儋县相邻，海榆西线公路横穿县境中部。北至海口市214公里，西至八所港65公里。地处五指山余脉的西北侧，地形地貌复杂，背山面海，版图狭长，地势东南高西北低，东南到西北由山地—丘陵—台地—阶地—平原逐级下降，地貌类型分为：山地、丘陵、谷地（盆地）、台地、阶地平原、沙滩等6种。</w:t>
      </w:r>
    </w:p>
    <w:p>
      <w:pPr>
        <w:spacing w:line="360" w:lineRule="auto"/>
        <w:ind w:firstLine="480" w:firstLineChars="200"/>
        <w:jc w:val="left"/>
        <w:rPr>
          <w:rFonts w:ascii="仿宋" w:hAnsi="仿宋" w:eastAsia="仿宋" w:cs="仿宋"/>
          <w:sz w:val="24"/>
          <w:szCs w:val="24"/>
        </w:rPr>
      </w:pPr>
      <w:r>
        <w:rPr>
          <w:rFonts w:hint="eastAsia" w:ascii="仿宋" w:hAnsi="仿宋" w:eastAsia="仿宋" w:cs="仿宋"/>
          <w:sz w:val="24"/>
          <w:szCs w:val="24"/>
        </w:rPr>
        <w:t>广坝分公司位于东方市东北部,距东方市城区八所镇37公里,距海南西线高速公路30公里,距海口市250公里。处于海南西部滨海台地向中部山地过渡地带，由原来国营广坝农场、红泉农场、公爱农场合并而成，大部分土地处于广坝盆地区。公司西面、北面有海拔400～600米的山岭屏护，东面、南面更有一系列海拔800～1000余米的高山。土地大多平缓，海拔一般为120～160米，坡度多在10度左右。年平均气温为24．2℃，月平均最高为30.2℃，最低为20℃，极端高温为38.2℃，极端低温为O℃（1973年1月）。年平均降水量1600多毫米，年雨日122天，7月至10月雨季降水量占全年的61%。每年有1次～3次热带风暴或台风侵扰，一般风力8级左右，2005年“达维”台风风力达17级。每年3～6月有干热焚风，时值旱季，更加重干旱问题。昌化江自南向北流经广坝分公司广坝区中部，众多支流（包括东方河）分布在公司范围内，水源丰富。大广坝水库高干渠贯穿全公司，职工有用电用水之便。</w:t>
      </w:r>
    </w:p>
    <w:p>
      <w:pPr>
        <w:spacing w:line="360" w:lineRule="auto"/>
        <w:ind w:firstLine="480" w:firstLineChars="200"/>
        <w:jc w:val="left"/>
        <w:rPr>
          <w:rFonts w:ascii="仿宋" w:hAnsi="仿宋" w:eastAsia="仿宋" w:cs="仿宋"/>
          <w:sz w:val="24"/>
          <w:szCs w:val="24"/>
        </w:rPr>
      </w:pPr>
      <w:r>
        <w:rPr>
          <w:rFonts w:hint="eastAsia" w:ascii="仿宋" w:hAnsi="仿宋" w:eastAsia="仿宋" w:cs="仿宋"/>
          <w:sz w:val="24"/>
          <w:szCs w:val="24"/>
        </w:rPr>
        <w:t>阳江分公司位于琼中黎族苗族自治县黎母山北麓，乌石至那大公路干线27公里处，辖区位于东经109°41′85″～109°50.41′44″，北纬19°11′51″～19°23′52″之间，东部与国营中坤农场接壤，南接国营乌石农场、国营大丰农场、黎母山，西邻番加镇镇、松涛水库，北部与国营蓝洋农场为邻，沿万洋高速、海三高速距省会海口市159公里，土壤多由花岗岩和少量紫色砂岩、砂页岩风化而成。土壤类型多样，土深厚肥沃。土壤pH值在4.5-5.0之间，有机质为25.5-31.8g/kg,全氮为1.14-1.68g/kg,全磷为0.61-1.18g/kg,全钾为28.6-34.0g/kg,碱解氮为107-124mg/kg,有效磷为8.0~10.0mg/kg,速效钾为46.0-85.0mg/kg,呈现出土壤酸性至微酸性，有机质和全氮含量中等，全钾较丰富而速效钾缺乏和全磷与效磷均缺乏的趋势。分公司内大部分为丘陵山地为主，地势西南高东北低，坡度多在15-25度之间，45度以上的山头极少，中部和南部较为平缓的坡度约在6-15度不等。整体地势相较与其他分公司较为平缓，适宜大规模机械化作业。气候属热带雨林气候区，高温、多雨，因四周环山，降水量大，湿度较高，昼夜温差大，常年降雨量在2100毫米左右，全年日照时间1780—2600小时，太阳总辐射量4500-5800兆焦耳/平方米，年均气候23.5℃，常年湿度在85%左右。因地势西北高东南地，东南部降雨量偏高，西北部降雨量偏低。境内溪流众多，但水量不大，旱季常有断流现象。由于地处海南岛中部，远离台风登陆点，受风害较为轻微。</w:t>
      </w:r>
    </w:p>
    <w:p>
      <w:pPr>
        <w:spacing w:line="360" w:lineRule="auto"/>
        <w:ind w:firstLine="480" w:firstLineChars="200"/>
        <w:jc w:val="left"/>
        <w:rPr>
          <w:rFonts w:ascii="仿宋" w:hAnsi="仿宋" w:eastAsia="仿宋" w:cs="仿宋"/>
          <w:sz w:val="24"/>
          <w:szCs w:val="24"/>
        </w:rPr>
      </w:pPr>
      <w:r>
        <w:rPr>
          <w:rFonts w:hint="eastAsia" w:ascii="仿宋" w:hAnsi="仿宋" w:eastAsia="仿宋" w:cs="仿宋"/>
          <w:sz w:val="24"/>
          <w:szCs w:val="24"/>
        </w:rPr>
        <w:t>乌石分公司位于琼中县东北部，总部坐落在琼中县湾岭镇,沿海三高速距省会海口市128公里，土壤多由花岗岩和少量紫色砂岩、砂页岩、安山岩风化而成。土壤类型多样，土深厚肥沃。土壤pH值在4.5-5.0之间，有机质为25.5-31.8g/kg,全氮为1.14~1.68g/kg,全磷为0.61~1.18g/kg,全钾为28.6-34.0g/kg,碱解氮为107-124mg/kg,有效磷为8.0~10.0mg/kg,速效钾为46.0-85.0mg/kg,呈现出土壤酸性至微酸性，有机质和全氮含量中等，全钾较丰富而速效钾缺乏和全磷与效磷均缺乏的趋势。场内大部分为丘陵山地，地势西北高东南低。整体地势相较与其他分公司较高，地形陡峭，不适宜大规模机械化作业。气候属热带季风气候，因四周环山，降水量大，湿度较高，昼夜温差大，常年降雨量在2200-2500之间，全年日照时间1600—2000小时，年均气候22.5℃，常年湿度在85%左右。因地势西北高东南地，东南部降雨量偏高，西北部降雨量偏低。境内溪流众多，但水量不大，旱季常有断流现象。由于地处海南岛中部，远离台风登陆点，受风害较为轻微。</w:t>
      </w:r>
    </w:p>
    <w:p>
      <w:pPr>
        <w:spacing w:line="360" w:lineRule="auto"/>
        <w:ind w:firstLine="480" w:firstLineChars="200"/>
        <w:jc w:val="left"/>
        <w:rPr>
          <w:rFonts w:ascii="仿宋" w:hAnsi="仿宋" w:eastAsia="仿宋" w:cs="仿宋"/>
          <w:sz w:val="24"/>
          <w:szCs w:val="24"/>
        </w:rPr>
      </w:pPr>
      <w:r>
        <w:rPr>
          <w:rFonts w:hint="eastAsia" w:ascii="仿宋" w:hAnsi="仿宋" w:eastAsia="仿宋" w:cs="仿宋"/>
          <w:sz w:val="24"/>
          <w:szCs w:val="24"/>
        </w:rPr>
        <w:t>长征分公司重组于2009年2月25日，原长征分公司、乘坡分公司、太平分公司重组成新的长征分公司。分公司总部设在长征农场场部，地处五指山东麓的琼中县境内，位于琼(琼中)万(万宁)公路与琼(琼中)陵(陵水)公路交汇处，距琼中县城 10 公里，交通便利。</w:t>
      </w:r>
    </w:p>
    <w:p>
      <w:pPr>
        <w:spacing w:line="360" w:lineRule="auto"/>
        <w:ind w:firstLine="480" w:firstLineChars="200"/>
        <w:jc w:val="left"/>
        <w:rPr>
          <w:rFonts w:ascii="仿宋" w:hAnsi="仿宋" w:eastAsia="仿宋" w:cs="仿宋"/>
          <w:sz w:val="24"/>
          <w:szCs w:val="24"/>
        </w:rPr>
      </w:pPr>
      <w:r>
        <w:rPr>
          <w:rFonts w:hint="eastAsia" w:ascii="仿宋" w:hAnsi="仿宋" w:eastAsia="仿宋" w:cs="仿宋"/>
          <w:sz w:val="24"/>
          <w:szCs w:val="24"/>
        </w:rPr>
        <w:t>加钗分公司于2005年组建，分公司地处海南岛中部山区，场区地势南北高，中部低，南北两地区海拔600—1000米的高山，属海南省中部多雨轻寒山谷地区。分公司总部设于加钗农场场部，依傍海榆中线公路，至琼中县城6公里，至海口市144公里。</w:t>
      </w:r>
    </w:p>
    <w:p>
      <w:pPr>
        <w:spacing w:line="360" w:lineRule="auto"/>
        <w:ind w:firstLine="480" w:firstLineChars="200"/>
        <w:jc w:val="left"/>
        <w:rPr>
          <w:rFonts w:ascii="仿宋" w:hAnsi="仿宋" w:eastAsia="仿宋" w:cs="仿宋"/>
          <w:sz w:val="24"/>
          <w:szCs w:val="24"/>
        </w:rPr>
      </w:pPr>
      <w:r>
        <w:rPr>
          <w:rFonts w:hint="eastAsia" w:ascii="仿宋" w:hAnsi="仿宋" w:eastAsia="仿宋" w:cs="仿宋"/>
          <w:sz w:val="24"/>
          <w:szCs w:val="24"/>
        </w:rPr>
        <w:t>中坤分公司位于</w:t>
      </w:r>
      <w:r>
        <w:fldChar w:fldCharType="begin"/>
      </w:r>
      <w:r>
        <w:instrText xml:space="preserve"> HYPERLINK "https://baike.baidu.com/item/%E5%84%8B%E5%B7%9E%E5%B8%82" \t "https://baike.baidu.com/item/%E5%85%AB%E4%B8%80%E5%86%9C%E5%9C%BA/_blank" </w:instrText>
      </w:r>
      <w:r>
        <w:fldChar w:fldCharType="separate"/>
      </w:r>
      <w:r>
        <w:rPr>
          <w:rFonts w:hint="eastAsia" w:ascii="仿宋" w:hAnsi="仿宋" w:eastAsia="仿宋" w:cs="仿宋"/>
          <w:sz w:val="24"/>
          <w:szCs w:val="24"/>
        </w:rPr>
        <w:t>屯昌县</w:t>
      </w:r>
      <w:r>
        <w:rPr>
          <w:rFonts w:hint="eastAsia" w:ascii="仿宋" w:hAnsi="仿宋" w:eastAsia="仿宋" w:cs="仿宋"/>
          <w:sz w:val="24"/>
          <w:szCs w:val="24"/>
        </w:rPr>
        <w:fldChar w:fldCharType="end"/>
      </w:r>
      <w:r>
        <w:rPr>
          <w:rFonts w:hint="eastAsia" w:ascii="仿宋" w:hAnsi="仿宋" w:eastAsia="仿宋" w:cs="仿宋"/>
          <w:sz w:val="24"/>
          <w:szCs w:val="24"/>
        </w:rPr>
        <w:t>西部，距屯昌县25公里、地势中高四低。坡度多在8度以上，大部分适宜机械作业；南部丘陵连绵，坡度多在10～15度以下。气候属热带季风气候，干、湿季节各占半年，远离台风登陆点，风害较轻微。气候四季宜人，年平均气温23.6℃，一月份平均气温17.3℃，七月份平均气温27.5℃。雨量充沛，年平均降雨量1704.7毫米。境内溪沟多数水量不大，旱季常有断流。主要河流有南渡江，水量充足。土壤以花岗岩发育的砖红壤为主，土层深厚，质地偏粘；有机质层16.5～25cm以上，风化层60～10cm以上；有机质含量1.730±0.994％，全氮含量0.074±0.055％，碱解氮含量84.512±41.54 PPM，三者属中等以上水平，能满足植物生长的需要；但土壤普遍缺磷和钾，速效磷含量9.550±12.34 PPM，速效钾含量70.752±75.622 PPM。</w:t>
      </w:r>
    </w:p>
    <w:p>
      <w:pPr>
        <w:spacing w:line="360" w:lineRule="auto"/>
        <w:ind w:firstLine="480" w:firstLineChars="200"/>
        <w:jc w:val="left"/>
        <w:rPr>
          <w:rFonts w:ascii="仿宋" w:hAnsi="仿宋" w:eastAsia="仿宋" w:cs="仿宋"/>
          <w:sz w:val="24"/>
          <w:szCs w:val="24"/>
        </w:rPr>
      </w:pPr>
      <w:r>
        <w:rPr>
          <w:rFonts w:hint="eastAsia" w:ascii="仿宋" w:hAnsi="仿宋" w:eastAsia="仿宋" w:cs="仿宋"/>
          <w:sz w:val="24"/>
          <w:szCs w:val="24"/>
        </w:rPr>
        <w:t>西达分公司位于</w:t>
      </w:r>
      <w:r>
        <w:fldChar w:fldCharType="begin"/>
      </w:r>
      <w:r>
        <w:instrText xml:space="preserve"> HYPERLINK "https://baike.baidu.com/item/%E5%84%8B%E5%B7%9E%E5%B8%82" \t "https://baike.baidu.com/item/%E5%85%AB%E4%B8%80%E5%86%9C%E5%9C%BA/_blank" </w:instrText>
      </w:r>
      <w:r>
        <w:fldChar w:fldCharType="separate"/>
      </w:r>
      <w:r>
        <w:rPr>
          <w:rFonts w:hint="eastAsia" w:ascii="仿宋" w:hAnsi="仿宋" w:eastAsia="仿宋" w:cs="仿宋"/>
          <w:sz w:val="24"/>
          <w:szCs w:val="24"/>
        </w:rPr>
        <w:t>澄迈县</w:t>
      </w:r>
      <w:r>
        <w:rPr>
          <w:rFonts w:hint="eastAsia" w:ascii="仿宋" w:hAnsi="仿宋" w:eastAsia="仿宋" w:cs="仿宋"/>
          <w:sz w:val="24"/>
          <w:szCs w:val="24"/>
        </w:rPr>
        <w:fldChar w:fldCharType="end"/>
      </w:r>
      <w:r>
        <w:rPr>
          <w:rFonts w:hint="eastAsia" w:ascii="仿宋" w:hAnsi="仿宋" w:eastAsia="仿宋" w:cs="仿宋"/>
          <w:sz w:val="24"/>
          <w:szCs w:val="24"/>
        </w:rPr>
        <w:t>西南部，辖区位于东经109°43′47″～109°57′56″，北纬19°23′20″～19°38′11″之间，总部地理坐标东经109°53′02″、北纬19°19′13″，东以南渡为界，与加乐镇、红岗农场、屯昌县中坤农场相望，南与琼中交界，西与红华农场相邻，北与原山区乡相接。场部距海口县99公里，至澄迈县城金江镇38公里。西达分公司地处山地向丘陵过渡地带，属热带海洋季风气候，年平均气温23.5℃，温度适宜，日强充足。在中、北部地区，除一些孤丘外，坡度多在15度以下，大部分适宜机械作业；南部丘陵连绵，坡度多在10～15度以下。气候属热带季风气候，干、湿季节各占半年，远离台风登陆点，风害较轻微。气候四季宜人，年平均气温23.5℃，一月份平均气温18℃，七月份平均气温28℃。雨量充沛，年平均降雨量1704.7毫米。境内溪沟多数水量不大，旱季常有断流。东部属南渡江流域，较大的河溪有犁沙河、石鼓岭沟、加命沟等，均由西南向东北汇入南渡江。土壤以花岗岩发育的砖红壤为主，土层深厚，质地偏粘；有机质层16.5～25cm以上，风化层60～10cm以上；有机质含量1.730±0.994％，全氮含量0.074±0.055％，碱解氮含量84.512±41.54 PPM，三者属中等以上水平，能满足植物生长的需要；但土壤普遍缺磷和钾，速效磷含量9.550±12.34 PPM，速效钾含量70.752±75.622 PPM。</w:t>
      </w:r>
    </w:p>
    <w:p>
      <w:pPr>
        <w:pStyle w:val="2"/>
        <w:ind w:firstLine="723"/>
        <w:rPr>
          <w:rFonts w:ascii="仿宋" w:hAnsi="仿宋" w:eastAsia="仿宋" w:cs="仿宋"/>
          <w:b w:val="0"/>
          <w:sz w:val="36"/>
          <w:szCs w:val="36"/>
        </w:rPr>
      </w:pPr>
      <w:r>
        <w:rPr>
          <w:rFonts w:hint="eastAsia" w:ascii="仿宋" w:hAnsi="仿宋" w:eastAsia="仿宋" w:cs="仿宋"/>
          <w:bCs/>
          <w:sz w:val="36"/>
          <w:szCs w:val="36"/>
        </w:rPr>
        <w:t>二、监测目标</w:t>
      </w:r>
    </w:p>
    <w:p>
      <w:pPr>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森林监测是通过制定各类森林资源监测措施达到保护、持续发展、科学经营、永续利用森林资源的目的，并将监测结果及时反馈到森林经营实践，从而持续提高森林经营水平，实现资源节约、环境良好、森林可持续经营的总体目标。同时，依据监测计划对经营相关因子的监测，逐步完善和改进分公司的各项经营措施，达到对森林资源的合理经营、持续发展和永续利用的目的，并不断促进分公司经济、环境和社会的协调统一。总体监测目标包括以下几个方面：</w:t>
      </w:r>
    </w:p>
    <w:p>
      <w:pPr>
        <w:pStyle w:val="21"/>
        <w:numPr>
          <w:ilvl w:val="0"/>
          <w:numId w:val="1"/>
        </w:numPr>
        <w:spacing w:line="360" w:lineRule="auto"/>
        <w:ind w:firstLineChars="0"/>
        <w:rPr>
          <w:rFonts w:ascii="仿宋" w:hAnsi="仿宋" w:eastAsia="仿宋" w:cs="仿宋"/>
          <w:sz w:val="24"/>
          <w:szCs w:val="24"/>
        </w:rPr>
      </w:pPr>
      <w:r>
        <w:rPr>
          <w:rFonts w:hint="eastAsia" w:ascii="仿宋" w:hAnsi="仿宋" w:eastAsia="仿宋" w:cs="仿宋"/>
          <w:sz w:val="24"/>
          <w:szCs w:val="24"/>
        </w:rPr>
        <w:t>监测森林经营规划的执行，评估森林经营目标的进展；</w:t>
      </w:r>
    </w:p>
    <w:p>
      <w:pPr>
        <w:pStyle w:val="21"/>
        <w:numPr>
          <w:ilvl w:val="0"/>
          <w:numId w:val="1"/>
        </w:numPr>
        <w:spacing w:line="360" w:lineRule="auto"/>
        <w:ind w:firstLineChars="0"/>
        <w:rPr>
          <w:rFonts w:ascii="仿宋" w:hAnsi="仿宋" w:eastAsia="仿宋" w:cs="仿宋"/>
          <w:sz w:val="24"/>
          <w:szCs w:val="24"/>
        </w:rPr>
      </w:pPr>
      <w:r>
        <w:rPr>
          <w:rFonts w:hint="eastAsia" w:ascii="仿宋" w:hAnsi="仿宋" w:eastAsia="仿宋" w:cs="仿宋"/>
          <w:sz w:val="24"/>
          <w:szCs w:val="24"/>
        </w:rPr>
        <w:t>监测所开展的营林作业活动对环境造成的影响；</w:t>
      </w:r>
    </w:p>
    <w:p>
      <w:pPr>
        <w:pStyle w:val="21"/>
        <w:numPr>
          <w:ilvl w:val="0"/>
          <w:numId w:val="1"/>
        </w:numPr>
        <w:spacing w:line="360" w:lineRule="auto"/>
        <w:ind w:firstLineChars="0"/>
        <w:rPr>
          <w:rFonts w:ascii="仿宋" w:hAnsi="仿宋" w:eastAsia="仿宋" w:cs="仿宋"/>
          <w:sz w:val="24"/>
          <w:szCs w:val="24"/>
        </w:rPr>
      </w:pPr>
      <w:r>
        <w:rPr>
          <w:rFonts w:hint="eastAsia" w:ascii="仿宋" w:hAnsi="仿宋" w:eastAsia="仿宋" w:cs="仿宋"/>
          <w:sz w:val="24"/>
          <w:szCs w:val="24"/>
        </w:rPr>
        <w:t>监测所开展的营林作业活动对社会造成的影响；</w:t>
      </w:r>
    </w:p>
    <w:p>
      <w:pPr>
        <w:pStyle w:val="21"/>
        <w:numPr>
          <w:ilvl w:val="0"/>
          <w:numId w:val="1"/>
        </w:numPr>
        <w:spacing w:line="360" w:lineRule="auto"/>
        <w:ind w:firstLineChars="0"/>
        <w:rPr>
          <w:rFonts w:ascii="仿宋" w:hAnsi="仿宋" w:eastAsia="仿宋" w:cs="仿宋"/>
          <w:sz w:val="24"/>
          <w:szCs w:val="24"/>
        </w:rPr>
      </w:pPr>
      <w:r>
        <w:rPr>
          <w:rFonts w:hint="eastAsia" w:ascii="仿宋" w:hAnsi="仿宋" w:eastAsia="仿宋" w:cs="仿宋"/>
          <w:sz w:val="24"/>
          <w:szCs w:val="24"/>
        </w:rPr>
        <w:t>监测和评估环境状况的变化。</w:t>
      </w:r>
    </w:p>
    <w:p>
      <w:pPr>
        <w:spacing w:line="360" w:lineRule="auto"/>
        <w:ind w:firstLine="480" w:firstLineChars="200"/>
        <w:rPr>
          <w:sz w:val="28"/>
        </w:rPr>
      </w:pPr>
      <w:r>
        <w:rPr>
          <w:rFonts w:hint="eastAsia" w:ascii="仿宋" w:hAnsi="仿宋" w:eastAsia="仿宋" w:cs="仿宋"/>
          <w:sz w:val="24"/>
          <w:szCs w:val="24"/>
        </w:rPr>
        <w:t>根据上述监测结果总结整理监测报告，全面阐述监测周期内森林各方面的变化情况，提出对分公司各种经营活动的整改建议。</w:t>
      </w:r>
    </w:p>
    <w:p>
      <w:pPr>
        <w:pStyle w:val="2"/>
        <w:ind w:firstLine="643"/>
        <w:rPr>
          <w:rFonts w:ascii="黑体" w:hAnsi="黑体" w:eastAsia="黑体" w:cs="黑体"/>
          <w:b w:val="0"/>
          <w:bCs/>
          <w:sz w:val="32"/>
          <w:szCs w:val="32"/>
        </w:rPr>
      </w:pPr>
      <w:r>
        <w:rPr>
          <w:rFonts w:hint="eastAsia" w:ascii="仿宋" w:hAnsi="仿宋" w:eastAsia="仿宋" w:cs="仿宋"/>
          <w:sz w:val="32"/>
          <w:szCs w:val="32"/>
        </w:rPr>
        <w:t>三、监测范围</w:t>
      </w:r>
    </w:p>
    <w:p>
      <w:pPr>
        <w:spacing w:line="360" w:lineRule="auto"/>
        <w:ind w:firstLine="480" w:firstLineChars="200"/>
        <w:rPr>
          <w:sz w:val="28"/>
        </w:rPr>
      </w:pPr>
      <w:r>
        <w:rPr>
          <w:rFonts w:hint="eastAsia" w:ascii="仿宋" w:hAnsi="仿宋" w:eastAsia="仿宋" w:cs="仿宋"/>
          <w:sz w:val="24"/>
          <w:szCs w:val="24"/>
        </w:rPr>
        <w:t>森林综合监测是对海胶集团FSC</w:t>
      </w:r>
      <w:r>
        <w:rPr>
          <w:rFonts w:hint="eastAsia" w:ascii="仿宋" w:hAnsi="仿宋" w:eastAsia="仿宋" w:cs="仿宋"/>
          <w:sz w:val="24"/>
          <w:szCs w:val="24"/>
          <w:vertAlign w:val="superscript"/>
        </w:rPr>
        <w:t>®</w:t>
      </w:r>
      <w:r>
        <w:rPr>
          <w:rFonts w:hint="eastAsia" w:ascii="仿宋" w:hAnsi="仿宋" w:eastAsia="仿宋" w:cs="仿宋"/>
          <w:sz w:val="24"/>
          <w:szCs w:val="24"/>
        </w:rPr>
        <w:t>森林认证范围共102872.9公顷林地，以及经营区域内的动植物、木质林产品和非木质林产品、生产生活和相应的社会、环境的范围内进行的监测。</w:t>
      </w:r>
    </w:p>
    <w:p>
      <w:pPr>
        <w:pStyle w:val="2"/>
        <w:ind w:firstLine="643"/>
        <w:rPr>
          <w:rFonts w:ascii="仿宋" w:hAnsi="仿宋" w:eastAsia="仿宋" w:cs="仿宋"/>
          <w:sz w:val="32"/>
          <w:szCs w:val="32"/>
        </w:rPr>
      </w:pPr>
      <w:r>
        <w:rPr>
          <w:rFonts w:hint="eastAsia" w:ascii="仿宋" w:hAnsi="仿宋" w:eastAsia="仿宋" w:cs="仿宋"/>
          <w:sz w:val="32"/>
          <w:szCs w:val="32"/>
        </w:rPr>
        <w:t>四、监测内容</w:t>
      </w:r>
    </w:p>
    <w:p>
      <w:pPr>
        <w:spacing w:line="360" w:lineRule="auto"/>
        <w:ind w:firstLine="480" w:firstLineChars="200"/>
        <w:rPr>
          <w:sz w:val="28"/>
        </w:rPr>
      </w:pPr>
      <w:r>
        <w:rPr>
          <w:rFonts w:hint="eastAsia" w:ascii="仿宋" w:hAnsi="仿宋" w:eastAsia="仿宋" w:cs="仿宋"/>
          <w:sz w:val="24"/>
          <w:szCs w:val="24"/>
        </w:rPr>
        <w:t>森林监测体系共涉及五个方面的内容，分别是森林经营规划及经营活动监测、森林经营活动的环境影响监测、森林经营活动的社会影响监测、森林的环境价值及环境状况变化监测和产销监管链监测。监测计划见表1，具体的监测方案见公司制定的《森林监测管理程序》（HNJX-FSC®/FM-JYSC017-2020）。</w:t>
      </w:r>
    </w:p>
    <w:p>
      <w:pPr>
        <w:spacing w:line="360" w:lineRule="auto"/>
        <w:jc w:val="center"/>
        <w:rPr>
          <w:rFonts w:ascii="黑体" w:hAnsi="黑体" w:eastAsia="黑体" w:cs="Times New Roman"/>
          <w:sz w:val="24"/>
          <w:szCs w:val="24"/>
        </w:rPr>
      </w:pPr>
      <w:r>
        <w:rPr>
          <w:rFonts w:hint="eastAsia" w:ascii="黑体" w:hAnsi="黑体" w:eastAsia="黑体" w:cs="Times New Roman"/>
          <w:sz w:val="24"/>
          <w:szCs w:val="24"/>
        </w:rPr>
        <w:t>表</w:t>
      </w:r>
      <w:r>
        <w:rPr>
          <w:rFonts w:ascii="黑体" w:hAnsi="黑体" w:eastAsia="黑体" w:cs="Times New Roman"/>
          <w:sz w:val="24"/>
          <w:szCs w:val="24"/>
        </w:rPr>
        <w:t>1</w:t>
      </w:r>
      <w:r>
        <w:rPr>
          <w:rFonts w:hint="eastAsia" w:ascii="黑体" w:hAnsi="黑体" w:eastAsia="黑体" w:cs="Times New Roman"/>
          <w:sz w:val="24"/>
          <w:szCs w:val="24"/>
        </w:rPr>
        <w:t xml:space="preserve"> 森林监测计划</w:t>
      </w:r>
    </w:p>
    <w:tbl>
      <w:tblPr>
        <w:tblStyle w:val="13"/>
        <w:tblW w:w="8384" w:type="dxa"/>
        <w:tblInd w:w="0" w:type="dxa"/>
        <w:tblLayout w:type="fixed"/>
        <w:tblCellMar>
          <w:top w:w="0" w:type="dxa"/>
          <w:left w:w="108" w:type="dxa"/>
          <w:bottom w:w="0" w:type="dxa"/>
          <w:right w:w="108" w:type="dxa"/>
        </w:tblCellMar>
      </w:tblPr>
      <w:tblGrid>
        <w:gridCol w:w="436"/>
        <w:gridCol w:w="644"/>
        <w:gridCol w:w="1516"/>
        <w:gridCol w:w="3033"/>
        <w:gridCol w:w="1655"/>
        <w:gridCol w:w="1100"/>
      </w:tblGrid>
      <w:tr>
        <w:tblPrEx>
          <w:tblCellMar>
            <w:top w:w="0" w:type="dxa"/>
            <w:left w:w="108" w:type="dxa"/>
            <w:bottom w:w="0" w:type="dxa"/>
            <w:right w:w="108" w:type="dxa"/>
          </w:tblCellMar>
        </w:tblPrEx>
        <w:trPr>
          <w:trHeight w:val="619" w:hRule="atLeast"/>
        </w:trPr>
        <w:tc>
          <w:tcPr>
            <w:tcW w:w="2596"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仿宋"/>
                <w:b/>
                <w:color w:val="000000"/>
                <w:kern w:val="0"/>
                <w:szCs w:val="21"/>
              </w:rPr>
            </w:pPr>
            <w:r>
              <w:rPr>
                <w:rFonts w:hint="eastAsia" w:ascii="仿宋" w:hAnsi="仿宋" w:eastAsia="仿宋" w:cs="仿宋"/>
                <w:b/>
                <w:color w:val="000000"/>
                <w:kern w:val="0"/>
                <w:szCs w:val="21"/>
              </w:rPr>
              <w:t>监测内容</w:t>
            </w:r>
          </w:p>
        </w:tc>
        <w:tc>
          <w:tcPr>
            <w:tcW w:w="3033"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仿宋"/>
                <w:b/>
                <w:color w:val="000000"/>
                <w:kern w:val="0"/>
                <w:szCs w:val="21"/>
              </w:rPr>
            </w:pPr>
            <w:r>
              <w:rPr>
                <w:rFonts w:hint="eastAsia" w:ascii="仿宋" w:hAnsi="仿宋" w:eastAsia="仿宋" w:cs="仿宋"/>
                <w:b/>
                <w:color w:val="000000"/>
                <w:kern w:val="0"/>
                <w:szCs w:val="21"/>
              </w:rPr>
              <w:t>监测指标</w:t>
            </w:r>
          </w:p>
        </w:tc>
        <w:tc>
          <w:tcPr>
            <w:tcW w:w="1655"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仿宋"/>
                <w:b/>
                <w:color w:val="000000"/>
                <w:kern w:val="0"/>
                <w:szCs w:val="21"/>
              </w:rPr>
            </w:pPr>
            <w:r>
              <w:rPr>
                <w:rFonts w:hint="eastAsia" w:ascii="仿宋" w:hAnsi="仿宋" w:eastAsia="仿宋" w:cs="仿宋"/>
                <w:b/>
                <w:color w:val="000000"/>
                <w:kern w:val="0"/>
                <w:szCs w:val="21"/>
              </w:rPr>
              <w:t>监测方式</w:t>
            </w:r>
          </w:p>
        </w:tc>
        <w:tc>
          <w:tcPr>
            <w:tcW w:w="1100"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仿宋"/>
                <w:b/>
                <w:color w:val="000000"/>
                <w:kern w:val="0"/>
                <w:szCs w:val="21"/>
              </w:rPr>
            </w:pPr>
            <w:r>
              <w:rPr>
                <w:rFonts w:hint="eastAsia" w:ascii="仿宋" w:hAnsi="仿宋" w:eastAsia="仿宋" w:cs="仿宋"/>
                <w:b/>
                <w:color w:val="000000"/>
                <w:kern w:val="0"/>
                <w:szCs w:val="21"/>
              </w:rPr>
              <w:t>监测周期</w:t>
            </w:r>
          </w:p>
        </w:tc>
      </w:tr>
      <w:tr>
        <w:tblPrEx>
          <w:tblCellMar>
            <w:top w:w="0" w:type="dxa"/>
            <w:left w:w="108" w:type="dxa"/>
            <w:bottom w:w="0" w:type="dxa"/>
            <w:right w:w="108" w:type="dxa"/>
          </w:tblCellMar>
        </w:tblPrEx>
        <w:trPr>
          <w:trHeight w:val="810" w:hRule="atLeast"/>
        </w:trPr>
        <w:tc>
          <w:tcPr>
            <w:tcW w:w="436"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仿宋"/>
                <w:color w:val="000000"/>
                <w:kern w:val="0"/>
                <w:szCs w:val="21"/>
              </w:rPr>
            </w:pPr>
            <w:r>
              <w:rPr>
                <w:rFonts w:hint="eastAsia" w:ascii="仿宋" w:hAnsi="仿宋" w:eastAsia="仿宋" w:cs="仿宋"/>
                <w:color w:val="000000"/>
                <w:kern w:val="0"/>
                <w:szCs w:val="21"/>
              </w:rPr>
              <w:t>森林经营规划及经营活动监测</w:t>
            </w:r>
          </w:p>
        </w:tc>
        <w:tc>
          <w:tcPr>
            <w:tcW w:w="2160"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仿宋"/>
                <w:color w:val="000000"/>
                <w:kern w:val="0"/>
                <w:szCs w:val="21"/>
              </w:rPr>
            </w:pPr>
            <w:r>
              <w:rPr>
                <w:rFonts w:hint="eastAsia" w:ascii="仿宋" w:hAnsi="仿宋" w:eastAsia="仿宋" w:cs="仿宋"/>
                <w:color w:val="000000"/>
                <w:kern w:val="0"/>
                <w:szCs w:val="21"/>
              </w:rPr>
              <w:t>林木生长监测</w:t>
            </w:r>
          </w:p>
        </w:tc>
        <w:tc>
          <w:tcPr>
            <w:tcW w:w="3033"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仿宋"/>
                <w:color w:val="000000"/>
                <w:kern w:val="0"/>
                <w:szCs w:val="21"/>
              </w:rPr>
            </w:pPr>
            <w:r>
              <w:rPr>
                <w:rFonts w:hint="eastAsia" w:ascii="仿宋" w:hAnsi="仿宋" w:eastAsia="仿宋" w:cs="仿宋"/>
                <w:color w:val="000000"/>
                <w:kern w:val="0"/>
                <w:szCs w:val="21"/>
              </w:rPr>
              <w:t>树木生长指标，如胸径、树高、单株材积、密度、单位面积蓄积和林木蓄积根据单株材积等</w:t>
            </w:r>
          </w:p>
        </w:tc>
        <w:tc>
          <w:tcPr>
            <w:tcW w:w="1655"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仿宋"/>
                <w:color w:val="000000"/>
                <w:kern w:val="0"/>
                <w:szCs w:val="21"/>
              </w:rPr>
            </w:pPr>
            <w:r>
              <w:rPr>
                <w:rFonts w:hint="eastAsia" w:ascii="仿宋" w:hAnsi="仿宋" w:eastAsia="仿宋" w:cs="仿宋"/>
                <w:color w:val="000000"/>
                <w:kern w:val="0"/>
                <w:szCs w:val="21"/>
              </w:rPr>
              <w:t>永久样地调查、资料收集等</w:t>
            </w:r>
          </w:p>
        </w:tc>
        <w:tc>
          <w:tcPr>
            <w:tcW w:w="1100"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仿宋"/>
                <w:color w:val="000000"/>
                <w:kern w:val="0"/>
                <w:szCs w:val="21"/>
              </w:rPr>
            </w:pPr>
            <w:r>
              <w:rPr>
                <w:rFonts w:hint="eastAsia" w:ascii="仿宋" w:hAnsi="仿宋" w:eastAsia="仿宋" w:cs="仿宋"/>
                <w:color w:val="000000"/>
                <w:kern w:val="0"/>
                <w:szCs w:val="21"/>
              </w:rPr>
              <w:t>每年一次</w:t>
            </w:r>
          </w:p>
        </w:tc>
      </w:tr>
      <w:tr>
        <w:tblPrEx>
          <w:tblCellMar>
            <w:top w:w="0" w:type="dxa"/>
            <w:left w:w="108" w:type="dxa"/>
            <w:bottom w:w="0" w:type="dxa"/>
            <w:right w:w="108" w:type="dxa"/>
          </w:tblCellMar>
        </w:tblPrEx>
        <w:trPr>
          <w:trHeight w:val="540" w:hRule="atLeast"/>
        </w:trPr>
        <w:tc>
          <w:tcPr>
            <w:tcW w:w="436" w:type="dxa"/>
            <w:vMerge w:val="continue"/>
            <w:tcBorders>
              <w:top w:val="nil"/>
              <w:left w:val="single" w:color="auto" w:sz="4" w:space="0"/>
              <w:bottom w:val="single" w:color="auto" w:sz="4" w:space="0"/>
              <w:right w:val="single" w:color="auto" w:sz="4" w:space="0"/>
            </w:tcBorders>
            <w:vAlign w:val="center"/>
          </w:tcPr>
          <w:p>
            <w:pPr>
              <w:widowControl/>
              <w:jc w:val="left"/>
              <w:rPr>
                <w:rFonts w:ascii="仿宋" w:hAnsi="仿宋" w:eastAsia="仿宋" w:cs="仿宋"/>
                <w:color w:val="000000"/>
                <w:kern w:val="0"/>
                <w:szCs w:val="21"/>
              </w:rPr>
            </w:pPr>
          </w:p>
        </w:tc>
        <w:tc>
          <w:tcPr>
            <w:tcW w:w="2160"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仿宋"/>
                <w:color w:val="000000"/>
                <w:kern w:val="0"/>
                <w:szCs w:val="21"/>
              </w:rPr>
            </w:pPr>
            <w:r>
              <w:rPr>
                <w:rFonts w:hint="eastAsia" w:ascii="仿宋" w:hAnsi="仿宋" w:eastAsia="仿宋" w:cs="仿宋"/>
                <w:color w:val="000000"/>
                <w:kern w:val="0"/>
                <w:szCs w:val="21"/>
              </w:rPr>
              <w:t>非木质林产品监测</w:t>
            </w:r>
          </w:p>
        </w:tc>
        <w:tc>
          <w:tcPr>
            <w:tcW w:w="3033"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仿宋"/>
                <w:color w:val="000000"/>
                <w:kern w:val="0"/>
                <w:szCs w:val="21"/>
              </w:rPr>
            </w:pPr>
            <w:r>
              <w:rPr>
                <w:rFonts w:hint="eastAsia" w:ascii="仿宋" w:hAnsi="仿宋" w:eastAsia="仿宋" w:cs="仿宋"/>
                <w:color w:val="000000"/>
                <w:kern w:val="0"/>
                <w:szCs w:val="21"/>
              </w:rPr>
              <w:t>非木质林产品种类、数量、年产值、更新情况等</w:t>
            </w:r>
          </w:p>
        </w:tc>
        <w:tc>
          <w:tcPr>
            <w:tcW w:w="1655"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仿宋"/>
                <w:color w:val="000000"/>
                <w:kern w:val="0"/>
                <w:szCs w:val="21"/>
              </w:rPr>
            </w:pPr>
            <w:r>
              <w:rPr>
                <w:rFonts w:hint="eastAsia" w:ascii="仿宋" w:hAnsi="仿宋" w:eastAsia="仿宋" w:cs="仿宋"/>
                <w:color w:val="000000"/>
                <w:kern w:val="0"/>
                <w:szCs w:val="21"/>
              </w:rPr>
              <w:t>资料收集、各方访谈记录等</w:t>
            </w:r>
          </w:p>
        </w:tc>
        <w:tc>
          <w:tcPr>
            <w:tcW w:w="1100"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仿宋"/>
                <w:color w:val="000000"/>
                <w:kern w:val="0"/>
                <w:szCs w:val="21"/>
              </w:rPr>
            </w:pPr>
            <w:r>
              <w:rPr>
                <w:rFonts w:hint="eastAsia" w:ascii="仿宋" w:hAnsi="仿宋" w:eastAsia="仿宋" w:cs="仿宋"/>
                <w:color w:val="000000"/>
                <w:kern w:val="0"/>
                <w:szCs w:val="21"/>
              </w:rPr>
              <w:t>每两年一次</w:t>
            </w:r>
          </w:p>
        </w:tc>
      </w:tr>
      <w:tr>
        <w:tblPrEx>
          <w:tblCellMar>
            <w:top w:w="0" w:type="dxa"/>
            <w:left w:w="108" w:type="dxa"/>
            <w:bottom w:w="0" w:type="dxa"/>
            <w:right w:w="108" w:type="dxa"/>
          </w:tblCellMar>
        </w:tblPrEx>
        <w:trPr>
          <w:trHeight w:val="540" w:hRule="atLeast"/>
        </w:trPr>
        <w:tc>
          <w:tcPr>
            <w:tcW w:w="436" w:type="dxa"/>
            <w:vMerge w:val="continue"/>
            <w:tcBorders>
              <w:top w:val="nil"/>
              <w:left w:val="single" w:color="auto" w:sz="4" w:space="0"/>
              <w:bottom w:val="single" w:color="auto" w:sz="4" w:space="0"/>
              <w:right w:val="single" w:color="auto" w:sz="4" w:space="0"/>
            </w:tcBorders>
            <w:vAlign w:val="center"/>
          </w:tcPr>
          <w:p>
            <w:pPr>
              <w:widowControl/>
              <w:jc w:val="left"/>
              <w:rPr>
                <w:rFonts w:ascii="仿宋" w:hAnsi="仿宋" w:eastAsia="仿宋" w:cs="仿宋"/>
                <w:color w:val="000000"/>
                <w:kern w:val="0"/>
                <w:szCs w:val="21"/>
              </w:rPr>
            </w:pPr>
          </w:p>
        </w:tc>
        <w:tc>
          <w:tcPr>
            <w:tcW w:w="644"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仿宋"/>
                <w:color w:val="000000"/>
                <w:kern w:val="0"/>
                <w:szCs w:val="21"/>
              </w:rPr>
            </w:pPr>
            <w:r>
              <w:rPr>
                <w:rFonts w:hint="eastAsia" w:ascii="仿宋" w:hAnsi="仿宋" w:eastAsia="仿宋" w:cs="仿宋"/>
                <w:color w:val="000000"/>
                <w:kern w:val="0"/>
                <w:szCs w:val="21"/>
              </w:rPr>
              <w:t>森林经营活动监测</w:t>
            </w:r>
          </w:p>
        </w:tc>
        <w:tc>
          <w:tcPr>
            <w:tcW w:w="1516"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仿宋"/>
                <w:color w:val="000000"/>
                <w:kern w:val="0"/>
                <w:szCs w:val="21"/>
              </w:rPr>
            </w:pPr>
            <w:r>
              <w:rPr>
                <w:rFonts w:hint="eastAsia" w:ascii="仿宋" w:hAnsi="仿宋" w:eastAsia="仿宋" w:cs="仿宋"/>
                <w:color w:val="000000"/>
                <w:kern w:val="0"/>
                <w:szCs w:val="21"/>
              </w:rPr>
              <w:t>更新造林监测</w:t>
            </w:r>
          </w:p>
        </w:tc>
        <w:tc>
          <w:tcPr>
            <w:tcW w:w="3033"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仿宋"/>
                <w:color w:val="000000"/>
                <w:kern w:val="0"/>
                <w:szCs w:val="21"/>
              </w:rPr>
            </w:pPr>
            <w:r>
              <w:rPr>
                <w:rFonts w:hint="eastAsia" w:ascii="仿宋" w:hAnsi="仿宋" w:eastAsia="仿宋" w:cs="仿宋"/>
                <w:color w:val="000000"/>
                <w:kern w:val="0"/>
                <w:szCs w:val="21"/>
              </w:rPr>
              <w:t>苗木的公顷株数，苗木的成活和死亡</w:t>
            </w:r>
          </w:p>
        </w:tc>
        <w:tc>
          <w:tcPr>
            <w:tcW w:w="1655"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仿宋"/>
                <w:color w:val="000000"/>
                <w:kern w:val="0"/>
                <w:szCs w:val="21"/>
              </w:rPr>
            </w:pPr>
            <w:r>
              <w:rPr>
                <w:rFonts w:hint="eastAsia" w:ascii="仿宋" w:hAnsi="仿宋" w:eastAsia="仿宋" w:cs="仿宋"/>
                <w:color w:val="000000"/>
                <w:kern w:val="0"/>
                <w:szCs w:val="21"/>
              </w:rPr>
              <w:t>新造林抽样调查</w:t>
            </w:r>
          </w:p>
        </w:tc>
        <w:tc>
          <w:tcPr>
            <w:tcW w:w="1100"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仿宋"/>
                <w:color w:val="000000"/>
                <w:kern w:val="0"/>
                <w:szCs w:val="21"/>
              </w:rPr>
            </w:pPr>
            <w:r>
              <w:rPr>
                <w:rFonts w:hint="eastAsia" w:ascii="仿宋" w:hAnsi="仿宋" w:eastAsia="仿宋" w:cs="仿宋"/>
                <w:color w:val="000000"/>
                <w:kern w:val="0"/>
                <w:szCs w:val="21"/>
              </w:rPr>
              <w:t>随机</w:t>
            </w:r>
          </w:p>
        </w:tc>
      </w:tr>
      <w:tr>
        <w:tblPrEx>
          <w:tblCellMar>
            <w:top w:w="0" w:type="dxa"/>
            <w:left w:w="108" w:type="dxa"/>
            <w:bottom w:w="0" w:type="dxa"/>
            <w:right w:w="108" w:type="dxa"/>
          </w:tblCellMar>
        </w:tblPrEx>
        <w:trPr>
          <w:trHeight w:val="270" w:hRule="atLeast"/>
        </w:trPr>
        <w:tc>
          <w:tcPr>
            <w:tcW w:w="436" w:type="dxa"/>
            <w:vMerge w:val="continue"/>
            <w:tcBorders>
              <w:top w:val="nil"/>
              <w:left w:val="single" w:color="auto" w:sz="4" w:space="0"/>
              <w:bottom w:val="single" w:color="auto" w:sz="4" w:space="0"/>
              <w:right w:val="single" w:color="auto" w:sz="4" w:space="0"/>
            </w:tcBorders>
            <w:vAlign w:val="center"/>
          </w:tcPr>
          <w:p>
            <w:pPr>
              <w:widowControl/>
              <w:jc w:val="left"/>
              <w:rPr>
                <w:rFonts w:ascii="仿宋" w:hAnsi="仿宋" w:eastAsia="仿宋" w:cs="仿宋"/>
                <w:color w:val="000000"/>
                <w:kern w:val="0"/>
                <w:szCs w:val="21"/>
              </w:rPr>
            </w:pPr>
          </w:p>
        </w:tc>
        <w:tc>
          <w:tcPr>
            <w:tcW w:w="644" w:type="dxa"/>
            <w:vMerge w:val="continue"/>
            <w:tcBorders>
              <w:top w:val="nil"/>
              <w:left w:val="single" w:color="auto" w:sz="4" w:space="0"/>
              <w:bottom w:val="single" w:color="auto" w:sz="4" w:space="0"/>
              <w:right w:val="single" w:color="auto" w:sz="4" w:space="0"/>
            </w:tcBorders>
            <w:vAlign w:val="center"/>
          </w:tcPr>
          <w:p>
            <w:pPr>
              <w:widowControl/>
              <w:jc w:val="left"/>
              <w:rPr>
                <w:rFonts w:ascii="仿宋" w:hAnsi="仿宋" w:eastAsia="仿宋" w:cs="仿宋"/>
                <w:color w:val="000000"/>
                <w:kern w:val="0"/>
                <w:szCs w:val="21"/>
              </w:rPr>
            </w:pPr>
          </w:p>
        </w:tc>
        <w:tc>
          <w:tcPr>
            <w:tcW w:w="1516"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仿宋"/>
                <w:color w:val="000000"/>
                <w:kern w:val="0"/>
                <w:szCs w:val="21"/>
              </w:rPr>
            </w:pPr>
            <w:r>
              <w:rPr>
                <w:rFonts w:hint="eastAsia" w:ascii="仿宋" w:hAnsi="仿宋" w:eastAsia="仿宋" w:cs="仿宋"/>
                <w:color w:val="000000"/>
                <w:kern w:val="0"/>
                <w:szCs w:val="21"/>
              </w:rPr>
              <w:t>森林抚育监督管理</w:t>
            </w:r>
          </w:p>
        </w:tc>
        <w:tc>
          <w:tcPr>
            <w:tcW w:w="3033"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仿宋"/>
                <w:color w:val="000000"/>
                <w:kern w:val="0"/>
                <w:szCs w:val="21"/>
              </w:rPr>
            </w:pPr>
            <w:r>
              <w:rPr>
                <w:rFonts w:hint="eastAsia" w:ascii="仿宋" w:hAnsi="仿宋" w:eastAsia="仿宋" w:cs="仿宋"/>
                <w:color w:val="000000"/>
                <w:kern w:val="0"/>
                <w:szCs w:val="21"/>
              </w:rPr>
              <w:t>透光抚育、幼林抚育面积和质量</w:t>
            </w:r>
          </w:p>
        </w:tc>
        <w:tc>
          <w:tcPr>
            <w:tcW w:w="1655"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仿宋"/>
                <w:color w:val="000000"/>
                <w:kern w:val="0"/>
                <w:szCs w:val="21"/>
              </w:rPr>
            </w:pPr>
            <w:r>
              <w:rPr>
                <w:rFonts w:hint="eastAsia" w:ascii="仿宋" w:hAnsi="仿宋" w:eastAsia="仿宋" w:cs="仿宋"/>
                <w:color w:val="000000"/>
                <w:kern w:val="0"/>
                <w:szCs w:val="21"/>
              </w:rPr>
              <w:t>抚育林地抽样调查</w:t>
            </w:r>
          </w:p>
        </w:tc>
        <w:tc>
          <w:tcPr>
            <w:tcW w:w="1100"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仿宋"/>
                <w:color w:val="000000"/>
                <w:kern w:val="0"/>
                <w:szCs w:val="21"/>
              </w:rPr>
            </w:pPr>
            <w:r>
              <w:rPr>
                <w:rFonts w:hint="eastAsia" w:ascii="仿宋" w:hAnsi="仿宋" w:eastAsia="仿宋" w:cs="仿宋"/>
                <w:color w:val="000000"/>
                <w:kern w:val="0"/>
                <w:szCs w:val="21"/>
              </w:rPr>
              <w:t>随机</w:t>
            </w:r>
          </w:p>
        </w:tc>
      </w:tr>
      <w:tr>
        <w:tblPrEx>
          <w:tblCellMar>
            <w:top w:w="0" w:type="dxa"/>
            <w:left w:w="108" w:type="dxa"/>
            <w:bottom w:w="0" w:type="dxa"/>
            <w:right w:w="108" w:type="dxa"/>
          </w:tblCellMar>
        </w:tblPrEx>
        <w:trPr>
          <w:trHeight w:val="540" w:hRule="atLeast"/>
        </w:trPr>
        <w:tc>
          <w:tcPr>
            <w:tcW w:w="436" w:type="dxa"/>
            <w:vMerge w:val="continue"/>
            <w:tcBorders>
              <w:top w:val="nil"/>
              <w:left w:val="single" w:color="auto" w:sz="4" w:space="0"/>
              <w:bottom w:val="single" w:color="auto" w:sz="4" w:space="0"/>
              <w:right w:val="single" w:color="auto" w:sz="4" w:space="0"/>
            </w:tcBorders>
            <w:vAlign w:val="center"/>
          </w:tcPr>
          <w:p>
            <w:pPr>
              <w:widowControl/>
              <w:jc w:val="left"/>
              <w:rPr>
                <w:rFonts w:ascii="仿宋" w:hAnsi="仿宋" w:eastAsia="仿宋" w:cs="仿宋"/>
                <w:color w:val="000000"/>
                <w:kern w:val="0"/>
                <w:szCs w:val="21"/>
              </w:rPr>
            </w:pPr>
          </w:p>
        </w:tc>
        <w:tc>
          <w:tcPr>
            <w:tcW w:w="644" w:type="dxa"/>
            <w:vMerge w:val="continue"/>
            <w:tcBorders>
              <w:top w:val="nil"/>
              <w:left w:val="single" w:color="auto" w:sz="4" w:space="0"/>
              <w:bottom w:val="single" w:color="auto" w:sz="4" w:space="0"/>
              <w:right w:val="single" w:color="auto" w:sz="4" w:space="0"/>
            </w:tcBorders>
            <w:vAlign w:val="center"/>
          </w:tcPr>
          <w:p>
            <w:pPr>
              <w:widowControl/>
              <w:jc w:val="left"/>
              <w:rPr>
                <w:rFonts w:ascii="仿宋" w:hAnsi="仿宋" w:eastAsia="仿宋" w:cs="仿宋"/>
                <w:color w:val="000000"/>
                <w:kern w:val="0"/>
                <w:szCs w:val="21"/>
              </w:rPr>
            </w:pPr>
          </w:p>
        </w:tc>
        <w:tc>
          <w:tcPr>
            <w:tcW w:w="1516" w:type="dxa"/>
            <w:tcBorders>
              <w:top w:val="nil"/>
              <w:left w:val="nil"/>
              <w:bottom w:val="single" w:color="auto" w:sz="4" w:space="0"/>
              <w:right w:val="single" w:color="auto" w:sz="4" w:space="0"/>
            </w:tcBorders>
            <w:shd w:val="clear" w:color="auto" w:fill="auto"/>
            <w:vAlign w:val="center"/>
          </w:tcPr>
          <w:p>
            <w:pPr>
              <w:widowControl/>
              <w:rPr>
                <w:rFonts w:ascii="仿宋" w:hAnsi="仿宋" w:eastAsia="仿宋" w:cs="仿宋"/>
                <w:color w:val="000000"/>
                <w:kern w:val="0"/>
                <w:szCs w:val="21"/>
              </w:rPr>
            </w:pPr>
            <w:r>
              <w:rPr>
                <w:rFonts w:hint="eastAsia" w:ascii="仿宋" w:hAnsi="仿宋" w:eastAsia="仿宋" w:cs="仿宋"/>
                <w:color w:val="000000"/>
                <w:kern w:val="0"/>
                <w:szCs w:val="21"/>
              </w:rPr>
              <w:t>森林采伐监督管理及林产品数量的监测</w:t>
            </w:r>
          </w:p>
        </w:tc>
        <w:tc>
          <w:tcPr>
            <w:tcW w:w="3033"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仿宋"/>
                <w:color w:val="000000"/>
                <w:kern w:val="0"/>
                <w:szCs w:val="21"/>
              </w:rPr>
            </w:pPr>
            <w:r>
              <w:rPr>
                <w:rFonts w:hint="eastAsia" w:ascii="仿宋" w:hAnsi="仿宋" w:eastAsia="仿宋" w:cs="仿宋"/>
                <w:color w:val="000000"/>
                <w:kern w:val="0"/>
                <w:szCs w:val="21"/>
              </w:rPr>
              <w:t>采伐数量、采伐质量、集材情况、伐区清理以及垃圾处理等</w:t>
            </w:r>
          </w:p>
        </w:tc>
        <w:tc>
          <w:tcPr>
            <w:tcW w:w="1655"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仿宋"/>
                <w:color w:val="000000"/>
                <w:kern w:val="0"/>
                <w:szCs w:val="21"/>
              </w:rPr>
            </w:pPr>
            <w:r>
              <w:rPr>
                <w:rFonts w:hint="eastAsia" w:ascii="仿宋" w:hAnsi="仿宋" w:eastAsia="仿宋" w:cs="仿宋"/>
                <w:color w:val="000000"/>
                <w:kern w:val="0"/>
                <w:szCs w:val="21"/>
              </w:rPr>
              <w:t>采用日常监测和伐后检查两种方法</w:t>
            </w:r>
          </w:p>
        </w:tc>
        <w:tc>
          <w:tcPr>
            <w:tcW w:w="1100"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仿宋"/>
                <w:color w:val="000000"/>
                <w:kern w:val="0"/>
                <w:szCs w:val="21"/>
              </w:rPr>
            </w:pPr>
            <w:r>
              <w:rPr>
                <w:rFonts w:hint="eastAsia" w:ascii="仿宋" w:hAnsi="仿宋" w:eastAsia="仿宋" w:cs="仿宋"/>
                <w:color w:val="000000"/>
                <w:kern w:val="0"/>
                <w:szCs w:val="21"/>
              </w:rPr>
              <w:t>随机</w:t>
            </w:r>
          </w:p>
        </w:tc>
      </w:tr>
      <w:tr>
        <w:tblPrEx>
          <w:tblCellMar>
            <w:top w:w="0" w:type="dxa"/>
            <w:left w:w="108" w:type="dxa"/>
            <w:bottom w:w="0" w:type="dxa"/>
            <w:right w:w="108" w:type="dxa"/>
          </w:tblCellMar>
        </w:tblPrEx>
        <w:trPr>
          <w:trHeight w:val="1080" w:hRule="atLeast"/>
        </w:trPr>
        <w:tc>
          <w:tcPr>
            <w:tcW w:w="436" w:type="dxa"/>
            <w:vMerge w:val="continue"/>
            <w:tcBorders>
              <w:top w:val="nil"/>
              <w:left w:val="single" w:color="auto" w:sz="4" w:space="0"/>
              <w:bottom w:val="single" w:color="auto" w:sz="4" w:space="0"/>
              <w:right w:val="single" w:color="auto" w:sz="4" w:space="0"/>
            </w:tcBorders>
            <w:vAlign w:val="center"/>
          </w:tcPr>
          <w:p>
            <w:pPr>
              <w:widowControl/>
              <w:jc w:val="left"/>
              <w:rPr>
                <w:rFonts w:ascii="仿宋" w:hAnsi="仿宋" w:eastAsia="仿宋" w:cs="仿宋"/>
                <w:color w:val="000000"/>
                <w:kern w:val="0"/>
                <w:szCs w:val="21"/>
              </w:rPr>
            </w:pPr>
          </w:p>
        </w:tc>
        <w:tc>
          <w:tcPr>
            <w:tcW w:w="644"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仿宋"/>
                <w:color w:val="000000"/>
                <w:kern w:val="0"/>
                <w:szCs w:val="21"/>
              </w:rPr>
            </w:pPr>
            <w:r>
              <w:rPr>
                <w:rFonts w:hint="eastAsia" w:ascii="仿宋" w:hAnsi="仿宋" w:eastAsia="仿宋" w:cs="仿宋"/>
                <w:color w:val="000000"/>
                <w:kern w:val="0"/>
                <w:szCs w:val="21"/>
              </w:rPr>
              <w:t>森林防护与安全监测</w:t>
            </w:r>
          </w:p>
        </w:tc>
        <w:tc>
          <w:tcPr>
            <w:tcW w:w="1516"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仿宋"/>
                <w:color w:val="000000"/>
                <w:kern w:val="0"/>
                <w:szCs w:val="21"/>
              </w:rPr>
            </w:pPr>
            <w:r>
              <w:rPr>
                <w:rFonts w:hint="eastAsia" w:ascii="仿宋" w:hAnsi="仿宋" w:eastAsia="仿宋" w:cs="仿宋"/>
                <w:color w:val="000000"/>
                <w:kern w:val="0"/>
                <w:szCs w:val="21"/>
              </w:rPr>
              <w:t>林政管理与森林管护监测</w:t>
            </w:r>
          </w:p>
        </w:tc>
        <w:tc>
          <w:tcPr>
            <w:tcW w:w="3033"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仿宋"/>
                <w:color w:val="000000"/>
                <w:kern w:val="0"/>
                <w:szCs w:val="21"/>
              </w:rPr>
            </w:pPr>
            <w:r>
              <w:rPr>
                <w:rFonts w:hint="eastAsia" w:ascii="仿宋" w:hAnsi="仿宋" w:eastAsia="仿宋" w:cs="仿宋"/>
                <w:color w:val="000000"/>
                <w:kern w:val="0"/>
                <w:szCs w:val="21"/>
              </w:rPr>
              <w:t>林木、林地违法案件；林地权属、变化情况；天然林转化为人工林或无林地情况；1994年营造的人工林状况。</w:t>
            </w:r>
          </w:p>
        </w:tc>
        <w:tc>
          <w:tcPr>
            <w:tcW w:w="1655"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仿宋"/>
                <w:color w:val="000000"/>
                <w:kern w:val="0"/>
                <w:szCs w:val="21"/>
              </w:rPr>
            </w:pPr>
            <w:r>
              <w:rPr>
                <w:rFonts w:hint="eastAsia" w:ascii="仿宋" w:hAnsi="仿宋" w:eastAsia="仿宋" w:cs="仿宋"/>
                <w:color w:val="000000"/>
                <w:kern w:val="0"/>
                <w:szCs w:val="21"/>
              </w:rPr>
              <w:t>护林员日常巡护、各方访谈记录</w:t>
            </w:r>
          </w:p>
        </w:tc>
        <w:tc>
          <w:tcPr>
            <w:tcW w:w="1100"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仿宋"/>
                <w:color w:val="000000"/>
                <w:kern w:val="0"/>
                <w:szCs w:val="21"/>
              </w:rPr>
            </w:pPr>
            <w:r>
              <w:rPr>
                <w:rFonts w:hint="eastAsia" w:ascii="仿宋" w:hAnsi="仿宋" w:eastAsia="仿宋" w:cs="仿宋"/>
                <w:color w:val="000000"/>
                <w:kern w:val="0"/>
                <w:szCs w:val="21"/>
              </w:rPr>
              <w:t>每年统计一次</w:t>
            </w:r>
          </w:p>
        </w:tc>
      </w:tr>
      <w:tr>
        <w:tblPrEx>
          <w:tblCellMar>
            <w:top w:w="0" w:type="dxa"/>
            <w:left w:w="108" w:type="dxa"/>
            <w:bottom w:w="0" w:type="dxa"/>
            <w:right w:w="108" w:type="dxa"/>
          </w:tblCellMar>
        </w:tblPrEx>
        <w:trPr>
          <w:trHeight w:val="540" w:hRule="atLeast"/>
        </w:trPr>
        <w:tc>
          <w:tcPr>
            <w:tcW w:w="436" w:type="dxa"/>
            <w:vMerge w:val="continue"/>
            <w:tcBorders>
              <w:top w:val="nil"/>
              <w:left w:val="single" w:color="auto" w:sz="4" w:space="0"/>
              <w:bottom w:val="single" w:color="auto" w:sz="4" w:space="0"/>
              <w:right w:val="single" w:color="auto" w:sz="4" w:space="0"/>
            </w:tcBorders>
            <w:vAlign w:val="center"/>
          </w:tcPr>
          <w:p>
            <w:pPr>
              <w:widowControl/>
              <w:jc w:val="left"/>
              <w:rPr>
                <w:rFonts w:ascii="仿宋" w:hAnsi="仿宋" w:eastAsia="仿宋" w:cs="仿宋"/>
                <w:color w:val="000000"/>
                <w:kern w:val="0"/>
                <w:szCs w:val="21"/>
              </w:rPr>
            </w:pPr>
          </w:p>
        </w:tc>
        <w:tc>
          <w:tcPr>
            <w:tcW w:w="644" w:type="dxa"/>
            <w:vMerge w:val="continue"/>
            <w:tcBorders>
              <w:top w:val="nil"/>
              <w:left w:val="single" w:color="auto" w:sz="4" w:space="0"/>
              <w:bottom w:val="single" w:color="auto" w:sz="4" w:space="0"/>
              <w:right w:val="single" w:color="auto" w:sz="4" w:space="0"/>
            </w:tcBorders>
            <w:vAlign w:val="center"/>
          </w:tcPr>
          <w:p>
            <w:pPr>
              <w:widowControl/>
              <w:jc w:val="left"/>
              <w:rPr>
                <w:rFonts w:ascii="仿宋" w:hAnsi="仿宋" w:eastAsia="仿宋" w:cs="仿宋"/>
                <w:color w:val="000000"/>
                <w:kern w:val="0"/>
                <w:szCs w:val="21"/>
              </w:rPr>
            </w:pPr>
          </w:p>
        </w:tc>
        <w:tc>
          <w:tcPr>
            <w:tcW w:w="1516"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仿宋"/>
                <w:color w:val="000000"/>
                <w:kern w:val="0"/>
                <w:szCs w:val="21"/>
              </w:rPr>
            </w:pPr>
            <w:r>
              <w:rPr>
                <w:rFonts w:hint="eastAsia" w:ascii="仿宋" w:hAnsi="仿宋" w:eastAsia="仿宋" w:cs="仿宋"/>
                <w:color w:val="000000"/>
                <w:kern w:val="0"/>
                <w:szCs w:val="21"/>
              </w:rPr>
              <w:t>森林防火监测</w:t>
            </w:r>
          </w:p>
        </w:tc>
        <w:tc>
          <w:tcPr>
            <w:tcW w:w="3033"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仿宋"/>
                <w:color w:val="000000"/>
                <w:kern w:val="0"/>
                <w:szCs w:val="21"/>
              </w:rPr>
            </w:pPr>
            <w:r>
              <w:rPr>
                <w:rFonts w:hint="eastAsia" w:ascii="仿宋" w:hAnsi="仿宋" w:eastAsia="仿宋" w:cs="仿宋"/>
                <w:color w:val="000000"/>
                <w:kern w:val="0"/>
                <w:szCs w:val="21"/>
              </w:rPr>
              <w:t>对森林可燃物等级、火情隐患、火险等级、人为因素等的监测</w:t>
            </w:r>
          </w:p>
        </w:tc>
        <w:tc>
          <w:tcPr>
            <w:tcW w:w="1655"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仿宋"/>
                <w:color w:val="000000"/>
                <w:kern w:val="0"/>
                <w:szCs w:val="21"/>
              </w:rPr>
            </w:pPr>
            <w:r>
              <w:rPr>
                <w:rFonts w:hint="eastAsia" w:ascii="仿宋" w:hAnsi="仿宋" w:eastAsia="仿宋" w:cs="仿宋"/>
                <w:color w:val="000000"/>
                <w:kern w:val="0"/>
                <w:szCs w:val="21"/>
              </w:rPr>
              <w:t>护林员日常巡护、各方访谈记录</w:t>
            </w:r>
          </w:p>
        </w:tc>
        <w:tc>
          <w:tcPr>
            <w:tcW w:w="1100"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仿宋"/>
                <w:color w:val="000000"/>
                <w:kern w:val="0"/>
                <w:szCs w:val="21"/>
              </w:rPr>
            </w:pPr>
            <w:r>
              <w:rPr>
                <w:rFonts w:hint="eastAsia" w:ascii="仿宋" w:hAnsi="仿宋" w:eastAsia="仿宋" w:cs="仿宋"/>
                <w:color w:val="000000"/>
                <w:kern w:val="0"/>
                <w:szCs w:val="21"/>
              </w:rPr>
              <w:t>每年统计一次</w:t>
            </w:r>
          </w:p>
        </w:tc>
      </w:tr>
      <w:tr>
        <w:tblPrEx>
          <w:tblCellMar>
            <w:top w:w="0" w:type="dxa"/>
            <w:left w:w="108" w:type="dxa"/>
            <w:bottom w:w="0" w:type="dxa"/>
            <w:right w:w="108" w:type="dxa"/>
          </w:tblCellMar>
        </w:tblPrEx>
        <w:trPr>
          <w:trHeight w:val="810" w:hRule="atLeast"/>
        </w:trPr>
        <w:tc>
          <w:tcPr>
            <w:tcW w:w="436" w:type="dxa"/>
            <w:vMerge w:val="continue"/>
            <w:tcBorders>
              <w:top w:val="nil"/>
              <w:left w:val="single" w:color="auto" w:sz="4" w:space="0"/>
              <w:bottom w:val="single" w:color="auto" w:sz="4" w:space="0"/>
              <w:right w:val="single" w:color="auto" w:sz="4" w:space="0"/>
            </w:tcBorders>
            <w:vAlign w:val="center"/>
          </w:tcPr>
          <w:p>
            <w:pPr>
              <w:widowControl/>
              <w:jc w:val="left"/>
              <w:rPr>
                <w:rFonts w:ascii="仿宋" w:hAnsi="仿宋" w:eastAsia="仿宋" w:cs="仿宋"/>
                <w:color w:val="000000"/>
                <w:kern w:val="0"/>
                <w:szCs w:val="21"/>
              </w:rPr>
            </w:pPr>
          </w:p>
        </w:tc>
        <w:tc>
          <w:tcPr>
            <w:tcW w:w="644" w:type="dxa"/>
            <w:vMerge w:val="continue"/>
            <w:tcBorders>
              <w:top w:val="nil"/>
              <w:left w:val="single" w:color="auto" w:sz="4" w:space="0"/>
              <w:bottom w:val="single" w:color="auto" w:sz="4" w:space="0"/>
              <w:right w:val="single" w:color="auto" w:sz="4" w:space="0"/>
            </w:tcBorders>
            <w:vAlign w:val="center"/>
          </w:tcPr>
          <w:p>
            <w:pPr>
              <w:widowControl/>
              <w:jc w:val="left"/>
              <w:rPr>
                <w:rFonts w:ascii="仿宋" w:hAnsi="仿宋" w:eastAsia="仿宋" w:cs="仿宋"/>
                <w:color w:val="000000"/>
                <w:kern w:val="0"/>
                <w:szCs w:val="21"/>
              </w:rPr>
            </w:pPr>
          </w:p>
        </w:tc>
        <w:tc>
          <w:tcPr>
            <w:tcW w:w="1516"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仿宋"/>
                <w:color w:val="000000"/>
                <w:kern w:val="0"/>
                <w:szCs w:val="21"/>
              </w:rPr>
            </w:pPr>
            <w:r>
              <w:rPr>
                <w:rFonts w:hint="eastAsia" w:ascii="仿宋" w:hAnsi="仿宋" w:eastAsia="仿宋" w:cs="仿宋"/>
                <w:color w:val="000000"/>
                <w:kern w:val="0"/>
                <w:szCs w:val="21"/>
              </w:rPr>
              <w:t>森林病虫害防治监测</w:t>
            </w:r>
          </w:p>
        </w:tc>
        <w:tc>
          <w:tcPr>
            <w:tcW w:w="3033"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仿宋"/>
                <w:color w:val="000000"/>
                <w:kern w:val="0"/>
                <w:szCs w:val="21"/>
              </w:rPr>
            </w:pPr>
            <w:r>
              <w:rPr>
                <w:rFonts w:hint="eastAsia" w:ascii="仿宋" w:hAnsi="仿宋" w:eastAsia="仿宋" w:cs="仿宋"/>
                <w:color w:val="000000"/>
                <w:kern w:val="0"/>
                <w:szCs w:val="21"/>
              </w:rPr>
              <w:t>林业有害生物的种群密度、虫口密度，有虫株率、病情指数、病害株率、捕获率、鼠害株率</w:t>
            </w:r>
          </w:p>
        </w:tc>
        <w:tc>
          <w:tcPr>
            <w:tcW w:w="1655"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仿宋"/>
                <w:color w:val="000000"/>
                <w:kern w:val="0"/>
                <w:szCs w:val="21"/>
              </w:rPr>
            </w:pPr>
            <w:r>
              <w:rPr>
                <w:rFonts w:hint="eastAsia" w:ascii="仿宋" w:hAnsi="仿宋" w:eastAsia="仿宋" w:cs="仿宋"/>
                <w:color w:val="000000"/>
                <w:kern w:val="0"/>
                <w:szCs w:val="21"/>
              </w:rPr>
              <w:t>护林员日常巡护、各方访谈记录</w:t>
            </w:r>
          </w:p>
        </w:tc>
        <w:tc>
          <w:tcPr>
            <w:tcW w:w="1100"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仿宋"/>
                <w:color w:val="000000"/>
                <w:kern w:val="0"/>
                <w:szCs w:val="21"/>
              </w:rPr>
            </w:pPr>
            <w:r>
              <w:rPr>
                <w:rFonts w:hint="eastAsia" w:ascii="仿宋" w:hAnsi="仿宋" w:eastAsia="仿宋" w:cs="仿宋"/>
                <w:color w:val="000000"/>
                <w:kern w:val="0"/>
                <w:szCs w:val="21"/>
              </w:rPr>
              <w:t>每年统计一次</w:t>
            </w:r>
          </w:p>
        </w:tc>
      </w:tr>
      <w:tr>
        <w:tblPrEx>
          <w:tblCellMar>
            <w:top w:w="0" w:type="dxa"/>
            <w:left w:w="108" w:type="dxa"/>
            <w:bottom w:w="0" w:type="dxa"/>
            <w:right w:w="108" w:type="dxa"/>
          </w:tblCellMar>
        </w:tblPrEx>
        <w:trPr>
          <w:trHeight w:val="740" w:hRule="atLeast"/>
        </w:trPr>
        <w:tc>
          <w:tcPr>
            <w:tcW w:w="436" w:type="dxa"/>
            <w:vMerge w:val="continue"/>
            <w:tcBorders>
              <w:top w:val="nil"/>
              <w:left w:val="single" w:color="auto" w:sz="4" w:space="0"/>
              <w:bottom w:val="single" w:color="auto" w:sz="4" w:space="0"/>
              <w:right w:val="single" w:color="auto" w:sz="4" w:space="0"/>
            </w:tcBorders>
            <w:vAlign w:val="center"/>
          </w:tcPr>
          <w:p>
            <w:pPr>
              <w:widowControl/>
              <w:jc w:val="left"/>
              <w:rPr>
                <w:rFonts w:ascii="仿宋" w:hAnsi="仿宋" w:eastAsia="仿宋" w:cs="仿宋"/>
                <w:color w:val="000000"/>
                <w:kern w:val="0"/>
                <w:szCs w:val="21"/>
              </w:rPr>
            </w:pPr>
          </w:p>
        </w:tc>
        <w:tc>
          <w:tcPr>
            <w:tcW w:w="644" w:type="dxa"/>
            <w:vMerge w:val="continue"/>
            <w:tcBorders>
              <w:top w:val="nil"/>
              <w:left w:val="single" w:color="auto" w:sz="4" w:space="0"/>
              <w:bottom w:val="single" w:color="auto" w:sz="4" w:space="0"/>
              <w:right w:val="single" w:color="auto" w:sz="4" w:space="0"/>
            </w:tcBorders>
            <w:vAlign w:val="center"/>
          </w:tcPr>
          <w:p>
            <w:pPr>
              <w:widowControl/>
              <w:jc w:val="left"/>
              <w:rPr>
                <w:rFonts w:ascii="仿宋" w:hAnsi="仿宋" w:eastAsia="仿宋" w:cs="仿宋"/>
                <w:color w:val="000000"/>
                <w:kern w:val="0"/>
                <w:szCs w:val="21"/>
              </w:rPr>
            </w:pPr>
          </w:p>
        </w:tc>
        <w:tc>
          <w:tcPr>
            <w:tcW w:w="1516"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仿宋"/>
                <w:color w:val="000000"/>
                <w:kern w:val="0"/>
                <w:szCs w:val="21"/>
              </w:rPr>
            </w:pPr>
            <w:r>
              <w:rPr>
                <w:rFonts w:hint="eastAsia" w:ascii="仿宋" w:hAnsi="仿宋" w:eastAsia="仿宋" w:cs="仿宋"/>
                <w:color w:val="000000"/>
                <w:kern w:val="0"/>
                <w:szCs w:val="21"/>
              </w:rPr>
              <w:t>外来物种监测</w:t>
            </w:r>
          </w:p>
        </w:tc>
        <w:tc>
          <w:tcPr>
            <w:tcW w:w="3033"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仿宋"/>
                <w:color w:val="000000"/>
                <w:kern w:val="0"/>
                <w:szCs w:val="21"/>
              </w:rPr>
            </w:pPr>
            <w:r>
              <w:rPr>
                <w:rFonts w:hint="eastAsia" w:ascii="仿宋" w:hAnsi="仿宋" w:eastAsia="仿宋" w:cs="仿宋"/>
                <w:color w:val="000000"/>
                <w:kern w:val="0"/>
                <w:szCs w:val="21"/>
              </w:rPr>
              <w:t>检验检疫记录、外来物种的种类、每个外来物种数量</w:t>
            </w:r>
          </w:p>
        </w:tc>
        <w:tc>
          <w:tcPr>
            <w:tcW w:w="1655"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仿宋"/>
                <w:color w:val="000000"/>
                <w:kern w:val="0"/>
                <w:szCs w:val="21"/>
              </w:rPr>
            </w:pPr>
            <w:r>
              <w:rPr>
                <w:rFonts w:hint="eastAsia" w:ascii="仿宋" w:hAnsi="仿宋" w:eastAsia="仿宋" w:cs="仿宋"/>
                <w:color w:val="000000"/>
                <w:kern w:val="0"/>
                <w:szCs w:val="21"/>
              </w:rPr>
              <w:t>护林员日常巡护、各方访谈记录</w:t>
            </w:r>
          </w:p>
        </w:tc>
        <w:tc>
          <w:tcPr>
            <w:tcW w:w="1100"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仿宋"/>
                <w:color w:val="000000"/>
                <w:kern w:val="0"/>
                <w:szCs w:val="21"/>
              </w:rPr>
            </w:pPr>
            <w:r>
              <w:rPr>
                <w:rFonts w:hint="eastAsia" w:ascii="仿宋" w:hAnsi="仿宋" w:eastAsia="仿宋" w:cs="仿宋"/>
                <w:color w:val="000000"/>
                <w:kern w:val="0"/>
                <w:szCs w:val="21"/>
              </w:rPr>
              <w:t>每年统计一次</w:t>
            </w:r>
          </w:p>
        </w:tc>
      </w:tr>
      <w:tr>
        <w:tblPrEx>
          <w:tblCellMar>
            <w:top w:w="0" w:type="dxa"/>
            <w:left w:w="108" w:type="dxa"/>
            <w:bottom w:w="0" w:type="dxa"/>
            <w:right w:w="108" w:type="dxa"/>
          </w:tblCellMar>
        </w:tblPrEx>
        <w:trPr>
          <w:trHeight w:val="540" w:hRule="atLeast"/>
        </w:trPr>
        <w:tc>
          <w:tcPr>
            <w:tcW w:w="436" w:type="dxa"/>
            <w:vMerge w:val="continue"/>
            <w:tcBorders>
              <w:top w:val="nil"/>
              <w:left w:val="single" w:color="auto" w:sz="4" w:space="0"/>
              <w:bottom w:val="single" w:color="auto" w:sz="4" w:space="0"/>
              <w:right w:val="single" w:color="auto" w:sz="4" w:space="0"/>
            </w:tcBorders>
            <w:vAlign w:val="center"/>
          </w:tcPr>
          <w:p>
            <w:pPr>
              <w:widowControl/>
              <w:jc w:val="left"/>
              <w:rPr>
                <w:rFonts w:ascii="仿宋" w:hAnsi="仿宋" w:eastAsia="仿宋" w:cs="仿宋"/>
                <w:color w:val="000000"/>
                <w:kern w:val="0"/>
                <w:szCs w:val="21"/>
              </w:rPr>
            </w:pPr>
          </w:p>
        </w:tc>
        <w:tc>
          <w:tcPr>
            <w:tcW w:w="644" w:type="dxa"/>
            <w:vMerge w:val="continue"/>
            <w:tcBorders>
              <w:top w:val="nil"/>
              <w:left w:val="single" w:color="auto" w:sz="4" w:space="0"/>
              <w:bottom w:val="single" w:color="auto" w:sz="4" w:space="0"/>
              <w:right w:val="single" w:color="auto" w:sz="4" w:space="0"/>
            </w:tcBorders>
            <w:vAlign w:val="center"/>
          </w:tcPr>
          <w:p>
            <w:pPr>
              <w:widowControl/>
              <w:jc w:val="left"/>
              <w:rPr>
                <w:rFonts w:ascii="仿宋" w:hAnsi="仿宋" w:eastAsia="仿宋" w:cs="仿宋"/>
                <w:color w:val="000000"/>
                <w:kern w:val="0"/>
                <w:szCs w:val="21"/>
              </w:rPr>
            </w:pPr>
          </w:p>
        </w:tc>
        <w:tc>
          <w:tcPr>
            <w:tcW w:w="1516"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仿宋"/>
                <w:color w:val="000000"/>
                <w:kern w:val="0"/>
                <w:szCs w:val="21"/>
              </w:rPr>
            </w:pPr>
            <w:r>
              <w:rPr>
                <w:rFonts w:hint="eastAsia" w:ascii="仿宋" w:hAnsi="仿宋" w:eastAsia="仿宋" w:cs="仿宋"/>
                <w:color w:val="000000"/>
                <w:kern w:val="0"/>
                <w:szCs w:val="21"/>
              </w:rPr>
              <w:t>自然灾害监测</w:t>
            </w:r>
          </w:p>
        </w:tc>
        <w:tc>
          <w:tcPr>
            <w:tcW w:w="3033"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仿宋"/>
                <w:color w:val="000000"/>
                <w:kern w:val="0"/>
                <w:szCs w:val="21"/>
              </w:rPr>
            </w:pPr>
            <w:r>
              <w:rPr>
                <w:rFonts w:hint="eastAsia" w:ascii="仿宋" w:hAnsi="仿宋" w:eastAsia="仿宋" w:cs="仿宋"/>
                <w:color w:val="000000"/>
                <w:kern w:val="0"/>
                <w:szCs w:val="21"/>
              </w:rPr>
              <w:t>旱灾、涝灾、风灾、冻害等</w:t>
            </w:r>
          </w:p>
        </w:tc>
        <w:tc>
          <w:tcPr>
            <w:tcW w:w="1655"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仿宋"/>
                <w:color w:val="000000"/>
                <w:kern w:val="0"/>
                <w:szCs w:val="21"/>
              </w:rPr>
            </w:pPr>
            <w:r>
              <w:rPr>
                <w:rFonts w:hint="eastAsia" w:ascii="仿宋" w:hAnsi="仿宋" w:eastAsia="仿宋" w:cs="仿宋"/>
                <w:color w:val="000000"/>
                <w:kern w:val="0"/>
                <w:szCs w:val="21"/>
              </w:rPr>
              <w:t>护林员日常巡护、各方访谈记录</w:t>
            </w:r>
          </w:p>
        </w:tc>
        <w:tc>
          <w:tcPr>
            <w:tcW w:w="1100"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仿宋"/>
                <w:color w:val="000000"/>
                <w:kern w:val="0"/>
                <w:szCs w:val="21"/>
              </w:rPr>
            </w:pPr>
            <w:r>
              <w:rPr>
                <w:rFonts w:hint="eastAsia" w:ascii="仿宋" w:hAnsi="仿宋" w:eastAsia="仿宋" w:cs="仿宋"/>
                <w:color w:val="000000"/>
                <w:kern w:val="0"/>
                <w:szCs w:val="21"/>
              </w:rPr>
              <w:t>每年统计一次</w:t>
            </w:r>
          </w:p>
        </w:tc>
      </w:tr>
      <w:tr>
        <w:tblPrEx>
          <w:tblCellMar>
            <w:top w:w="0" w:type="dxa"/>
            <w:left w:w="108" w:type="dxa"/>
            <w:bottom w:w="0" w:type="dxa"/>
            <w:right w:w="108" w:type="dxa"/>
          </w:tblCellMar>
        </w:tblPrEx>
        <w:trPr>
          <w:trHeight w:val="810" w:hRule="atLeast"/>
        </w:trPr>
        <w:tc>
          <w:tcPr>
            <w:tcW w:w="436" w:type="dxa"/>
            <w:vMerge w:val="continue"/>
            <w:tcBorders>
              <w:top w:val="nil"/>
              <w:left w:val="single" w:color="auto" w:sz="4" w:space="0"/>
              <w:bottom w:val="single" w:color="auto" w:sz="4" w:space="0"/>
              <w:right w:val="single" w:color="auto" w:sz="4" w:space="0"/>
            </w:tcBorders>
            <w:vAlign w:val="center"/>
          </w:tcPr>
          <w:p>
            <w:pPr>
              <w:widowControl/>
              <w:jc w:val="left"/>
              <w:rPr>
                <w:rFonts w:ascii="仿宋" w:hAnsi="仿宋" w:eastAsia="仿宋" w:cs="仿宋"/>
                <w:color w:val="000000"/>
                <w:kern w:val="0"/>
                <w:szCs w:val="21"/>
              </w:rPr>
            </w:pPr>
          </w:p>
        </w:tc>
        <w:tc>
          <w:tcPr>
            <w:tcW w:w="644" w:type="dxa"/>
            <w:vMerge w:val="continue"/>
            <w:tcBorders>
              <w:top w:val="nil"/>
              <w:left w:val="single" w:color="auto" w:sz="4" w:space="0"/>
              <w:bottom w:val="single" w:color="auto" w:sz="4" w:space="0"/>
              <w:right w:val="single" w:color="auto" w:sz="4" w:space="0"/>
            </w:tcBorders>
            <w:vAlign w:val="center"/>
          </w:tcPr>
          <w:p>
            <w:pPr>
              <w:widowControl/>
              <w:jc w:val="left"/>
              <w:rPr>
                <w:rFonts w:ascii="仿宋" w:hAnsi="仿宋" w:eastAsia="仿宋" w:cs="仿宋"/>
                <w:color w:val="000000"/>
                <w:kern w:val="0"/>
                <w:szCs w:val="21"/>
              </w:rPr>
            </w:pPr>
          </w:p>
        </w:tc>
        <w:tc>
          <w:tcPr>
            <w:tcW w:w="1516"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仿宋"/>
                <w:color w:val="000000"/>
                <w:kern w:val="0"/>
                <w:szCs w:val="21"/>
              </w:rPr>
            </w:pPr>
            <w:r>
              <w:rPr>
                <w:rFonts w:hint="eastAsia" w:ascii="仿宋" w:hAnsi="仿宋" w:eastAsia="仿宋" w:cs="仿宋"/>
                <w:color w:val="000000"/>
                <w:kern w:val="0"/>
                <w:szCs w:val="21"/>
              </w:rPr>
              <w:t>化学品和生物制剂使用监测</w:t>
            </w:r>
          </w:p>
        </w:tc>
        <w:tc>
          <w:tcPr>
            <w:tcW w:w="3033"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仿宋"/>
                <w:color w:val="000000"/>
                <w:kern w:val="0"/>
                <w:szCs w:val="21"/>
              </w:rPr>
            </w:pPr>
            <w:r>
              <w:rPr>
                <w:rFonts w:hint="eastAsia" w:ascii="仿宋" w:hAnsi="仿宋" w:eastAsia="仿宋" w:cs="仿宋"/>
                <w:color w:val="000000"/>
                <w:kern w:val="0"/>
                <w:szCs w:val="21"/>
              </w:rPr>
              <w:t>农药、化肥、生物制剂的施用范围、面积、施用种类、折纯量、废弃物处理方式</w:t>
            </w:r>
          </w:p>
        </w:tc>
        <w:tc>
          <w:tcPr>
            <w:tcW w:w="1655"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仿宋"/>
                <w:color w:val="000000"/>
                <w:kern w:val="0"/>
                <w:szCs w:val="21"/>
              </w:rPr>
            </w:pPr>
            <w:r>
              <w:rPr>
                <w:rFonts w:hint="eastAsia" w:ascii="仿宋" w:hAnsi="仿宋" w:eastAsia="仿宋" w:cs="仿宋"/>
                <w:color w:val="000000"/>
                <w:kern w:val="0"/>
                <w:szCs w:val="21"/>
              </w:rPr>
              <w:t>成员填报相关登记表</w:t>
            </w:r>
          </w:p>
        </w:tc>
        <w:tc>
          <w:tcPr>
            <w:tcW w:w="1100"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仿宋"/>
                <w:color w:val="000000"/>
                <w:kern w:val="0"/>
                <w:szCs w:val="21"/>
              </w:rPr>
            </w:pPr>
            <w:r>
              <w:rPr>
                <w:rFonts w:hint="eastAsia" w:ascii="仿宋" w:hAnsi="仿宋" w:eastAsia="仿宋" w:cs="仿宋"/>
                <w:color w:val="000000"/>
                <w:kern w:val="0"/>
                <w:szCs w:val="21"/>
              </w:rPr>
              <w:t>每年统计一次</w:t>
            </w:r>
          </w:p>
        </w:tc>
      </w:tr>
      <w:tr>
        <w:tblPrEx>
          <w:tblCellMar>
            <w:top w:w="0" w:type="dxa"/>
            <w:left w:w="108" w:type="dxa"/>
            <w:bottom w:w="0" w:type="dxa"/>
            <w:right w:w="108" w:type="dxa"/>
          </w:tblCellMar>
        </w:tblPrEx>
        <w:trPr>
          <w:trHeight w:val="810" w:hRule="atLeast"/>
        </w:trPr>
        <w:tc>
          <w:tcPr>
            <w:tcW w:w="436" w:type="dxa"/>
            <w:vMerge w:val="continue"/>
            <w:tcBorders>
              <w:top w:val="nil"/>
              <w:left w:val="single" w:color="auto" w:sz="4" w:space="0"/>
              <w:bottom w:val="single" w:color="auto" w:sz="4" w:space="0"/>
              <w:right w:val="single" w:color="auto" w:sz="4" w:space="0"/>
            </w:tcBorders>
            <w:vAlign w:val="center"/>
          </w:tcPr>
          <w:p>
            <w:pPr>
              <w:widowControl/>
              <w:jc w:val="left"/>
              <w:rPr>
                <w:rFonts w:ascii="仿宋" w:hAnsi="仿宋" w:eastAsia="仿宋" w:cs="仿宋"/>
                <w:color w:val="000000"/>
                <w:kern w:val="0"/>
                <w:szCs w:val="21"/>
              </w:rPr>
            </w:pPr>
          </w:p>
        </w:tc>
        <w:tc>
          <w:tcPr>
            <w:tcW w:w="2160"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仿宋"/>
                <w:color w:val="000000"/>
                <w:kern w:val="0"/>
                <w:szCs w:val="21"/>
              </w:rPr>
            </w:pPr>
            <w:r>
              <w:rPr>
                <w:rFonts w:hint="eastAsia" w:ascii="仿宋" w:hAnsi="仿宋" w:eastAsia="仿宋" w:cs="仿宋"/>
                <w:color w:val="000000"/>
                <w:kern w:val="0"/>
                <w:szCs w:val="21"/>
              </w:rPr>
              <w:t>经营规划及年度作业计划执行监测</w:t>
            </w:r>
          </w:p>
        </w:tc>
        <w:tc>
          <w:tcPr>
            <w:tcW w:w="3033"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仿宋"/>
                <w:color w:val="000000"/>
                <w:kern w:val="0"/>
                <w:szCs w:val="21"/>
              </w:rPr>
            </w:pPr>
            <w:r>
              <w:rPr>
                <w:rFonts w:hint="eastAsia" w:ascii="仿宋" w:hAnsi="仿宋" w:eastAsia="仿宋" w:cs="仿宋"/>
                <w:color w:val="000000"/>
                <w:kern w:val="0"/>
                <w:szCs w:val="21"/>
              </w:rPr>
              <w:t>经营规划中所确定的指标及年度作业计划所确定的工作任务</w:t>
            </w:r>
          </w:p>
        </w:tc>
        <w:tc>
          <w:tcPr>
            <w:tcW w:w="1655"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仿宋"/>
                <w:color w:val="000000"/>
                <w:kern w:val="0"/>
                <w:szCs w:val="21"/>
              </w:rPr>
            </w:pPr>
            <w:r>
              <w:rPr>
                <w:rFonts w:hint="eastAsia" w:ascii="仿宋" w:hAnsi="仿宋" w:eastAsia="仿宋" w:cs="仿宋"/>
                <w:color w:val="000000"/>
                <w:kern w:val="0"/>
                <w:szCs w:val="21"/>
              </w:rPr>
              <w:t>材料收集，各基地负责对本年度的工作任务进行总结</w:t>
            </w:r>
          </w:p>
        </w:tc>
        <w:tc>
          <w:tcPr>
            <w:tcW w:w="1100"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仿宋"/>
                <w:color w:val="000000"/>
                <w:kern w:val="0"/>
                <w:szCs w:val="21"/>
              </w:rPr>
            </w:pPr>
            <w:r>
              <w:rPr>
                <w:rFonts w:hint="eastAsia" w:ascii="仿宋" w:hAnsi="仿宋" w:eastAsia="仿宋" w:cs="仿宋"/>
                <w:color w:val="000000"/>
                <w:kern w:val="0"/>
                <w:szCs w:val="21"/>
              </w:rPr>
              <w:t>每年总结一次</w:t>
            </w:r>
          </w:p>
        </w:tc>
      </w:tr>
      <w:tr>
        <w:tblPrEx>
          <w:tblCellMar>
            <w:top w:w="0" w:type="dxa"/>
            <w:left w:w="108" w:type="dxa"/>
            <w:bottom w:w="0" w:type="dxa"/>
            <w:right w:w="108" w:type="dxa"/>
          </w:tblCellMar>
        </w:tblPrEx>
        <w:trPr>
          <w:trHeight w:val="1620" w:hRule="atLeast"/>
        </w:trPr>
        <w:tc>
          <w:tcPr>
            <w:tcW w:w="436" w:type="dxa"/>
            <w:vMerge w:val="continue"/>
            <w:tcBorders>
              <w:top w:val="nil"/>
              <w:left w:val="single" w:color="auto" w:sz="4" w:space="0"/>
              <w:bottom w:val="single" w:color="auto" w:sz="4" w:space="0"/>
              <w:right w:val="single" w:color="auto" w:sz="4" w:space="0"/>
            </w:tcBorders>
            <w:vAlign w:val="center"/>
          </w:tcPr>
          <w:p>
            <w:pPr>
              <w:widowControl/>
              <w:jc w:val="left"/>
              <w:rPr>
                <w:rFonts w:ascii="仿宋" w:hAnsi="仿宋" w:eastAsia="仿宋" w:cs="仿宋"/>
                <w:color w:val="000000"/>
                <w:kern w:val="0"/>
                <w:szCs w:val="21"/>
              </w:rPr>
            </w:pPr>
          </w:p>
        </w:tc>
        <w:tc>
          <w:tcPr>
            <w:tcW w:w="2160"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仿宋"/>
                <w:kern w:val="0"/>
                <w:szCs w:val="21"/>
              </w:rPr>
            </w:pPr>
            <w:r>
              <w:rPr>
                <w:rFonts w:hint="eastAsia" w:ascii="仿宋" w:hAnsi="仿宋" w:eastAsia="仿宋" w:cs="仿宋"/>
                <w:kern w:val="0"/>
                <w:szCs w:val="21"/>
              </w:rPr>
              <w:t>经济效益与预算执行监测</w:t>
            </w:r>
          </w:p>
        </w:tc>
        <w:tc>
          <w:tcPr>
            <w:tcW w:w="3033"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仿宋"/>
                <w:color w:val="000000"/>
                <w:kern w:val="0"/>
                <w:szCs w:val="21"/>
              </w:rPr>
            </w:pPr>
            <w:r>
              <w:rPr>
                <w:rFonts w:hint="eastAsia" w:ascii="仿宋" w:hAnsi="仿宋" w:eastAsia="仿宋" w:cs="仿宋"/>
                <w:color w:val="000000"/>
                <w:kern w:val="0"/>
                <w:szCs w:val="21"/>
              </w:rPr>
              <w:t>木材实际产量、生产成本、费用单位的营林管理费用、管理费用，木材销售部门的木材销售收入以及加工工厂的收入、支出、利润，总公司和各基地为当地提供的就业和捐助</w:t>
            </w:r>
          </w:p>
        </w:tc>
        <w:tc>
          <w:tcPr>
            <w:tcW w:w="1655"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仿宋"/>
                <w:color w:val="000000"/>
                <w:kern w:val="0"/>
                <w:szCs w:val="21"/>
              </w:rPr>
            </w:pPr>
            <w:r>
              <w:rPr>
                <w:rFonts w:hint="eastAsia" w:ascii="仿宋" w:hAnsi="仿宋" w:eastAsia="仿宋" w:cs="仿宋"/>
                <w:color w:val="000000"/>
                <w:kern w:val="0"/>
                <w:szCs w:val="21"/>
              </w:rPr>
              <w:t>财务部门定期检测</w:t>
            </w:r>
          </w:p>
        </w:tc>
        <w:tc>
          <w:tcPr>
            <w:tcW w:w="1100"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仿宋"/>
                <w:color w:val="000000"/>
                <w:kern w:val="0"/>
                <w:szCs w:val="21"/>
              </w:rPr>
            </w:pPr>
            <w:r>
              <w:rPr>
                <w:rFonts w:hint="eastAsia" w:ascii="仿宋" w:hAnsi="仿宋" w:eastAsia="仿宋" w:cs="仿宋"/>
                <w:color w:val="000000"/>
                <w:kern w:val="0"/>
                <w:szCs w:val="21"/>
              </w:rPr>
              <w:t>每年统计一次</w:t>
            </w:r>
          </w:p>
        </w:tc>
      </w:tr>
      <w:tr>
        <w:tblPrEx>
          <w:tblCellMar>
            <w:top w:w="0" w:type="dxa"/>
            <w:left w:w="108" w:type="dxa"/>
            <w:bottom w:w="0" w:type="dxa"/>
            <w:right w:w="108" w:type="dxa"/>
          </w:tblCellMar>
        </w:tblPrEx>
        <w:trPr>
          <w:trHeight w:val="1620" w:hRule="atLeast"/>
        </w:trPr>
        <w:tc>
          <w:tcPr>
            <w:tcW w:w="436" w:type="dxa"/>
            <w:vMerge w:val="continue"/>
            <w:tcBorders>
              <w:top w:val="nil"/>
              <w:left w:val="single" w:color="auto" w:sz="4" w:space="0"/>
              <w:bottom w:val="single" w:color="auto" w:sz="4" w:space="0"/>
              <w:right w:val="single" w:color="auto" w:sz="4" w:space="0"/>
            </w:tcBorders>
            <w:vAlign w:val="center"/>
          </w:tcPr>
          <w:p>
            <w:pPr>
              <w:widowControl/>
              <w:jc w:val="left"/>
              <w:rPr>
                <w:rFonts w:ascii="仿宋" w:hAnsi="仿宋" w:eastAsia="仿宋" w:cs="仿宋"/>
                <w:color w:val="000000"/>
                <w:kern w:val="0"/>
                <w:szCs w:val="21"/>
              </w:rPr>
            </w:pPr>
          </w:p>
        </w:tc>
        <w:tc>
          <w:tcPr>
            <w:tcW w:w="2160"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仿宋"/>
                <w:color w:val="000000"/>
                <w:kern w:val="0"/>
                <w:szCs w:val="21"/>
              </w:rPr>
            </w:pPr>
            <w:r>
              <w:rPr>
                <w:rFonts w:hint="eastAsia" w:ascii="仿宋" w:hAnsi="仿宋" w:eastAsia="仿宋" w:cs="仿宋"/>
                <w:color w:val="000000"/>
                <w:kern w:val="0"/>
                <w:szCs w:val="21"/>
              </w:rPr>
              <w:t>社会效益与员工权益监测</w:t>
            </w:r>
          </w:p>
        </w:tc>
        <w:tc>
          <w:tcPr>
            <w:tcW w:w="3033"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仿宋"/>
                <w:color w:val="000000"/>
                <w:kern w:val="0"/>
                <w:szCs w:val="21"/>
              </w:rPr>
            </w:pPr>
            <w:r>
              <w:rPr>
                <w:rFonts w:hint="eastAsia" w:ascii="仿宋" w:hAnsi="仿宋" w:eastAsia="仿宋" w:cs="仿宋"/>
                <w:color w:val="000000"/>
                <w:kern w:val="0"/>
                <w:szCs w:val="21"/>
              </w:rPr>
              <w:t>为当地社区提供的就业和其他服务的机会；与当地社区和相关利益方签署协议的执行情况；保障劳动者健康与安全；当地社区的投诉及处理情况；员工的投诉、意见及处理情况；妇女权益保护及性别平等情况等</w:t>
            </w:r>
          </w:p>
        </w:tc>
        <w:tc>
          <w:tcPr>
            <w:tcW w:w="1655"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仿宋"/>
                <w:color w:val="000000"/>
                <w:kern w:val="0"/>
                <w:szCs w:val="21"/>
              </w:rPr>
            </w:pPr>
            <w:r>
              <w:rPr>
                <w:rFonts w:hint="eastAsia" w:ascii="仿宋" w:hAnsi="仿宋" w:eastAsia="仿宋" w:cs="仿宋"/>
                <w:color w:val="000000"/>
                <w:kern w:val="0"/>
                <w:szCs w:val="21"/>
              </w:rPr>
              <w:t>收集相关材料和程序文件的记录</w:t>
            </w:r>
          </w:p>
        </w:tc>
        <w:tc>
          <w:tcPr>
            <w:tcW w:w="1100"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仿宋"/>
                <w:color w:val="000000"/>
                <w:kern w:val="0"/>
                <w:szCs w:val="21"/>
              </w:rPr>
            </w:pPr>
            <w:r>
              <w:rPr>
                <w:rFonts w:hint="eastAsia" w:ascii="仿宋" w:hAnsi="仿宋" w:eastAsia="仿宋" w:cs="仿宋"/>
                <w:color w:val="000000"/>
                <w:kern w:val="0"/>
                <w:szCs w:val="21"/>
              </w:rPr>
              <w:t>每年统计一次</w:t>
            </w:r>
          </w:p>
        </w:tc>
      </w:tr>
      <w:tr>
        <w:tblPrEx>
          <w:tblCellMar>
            <w:top w:w="0" w:type="dxa"/>
            <w:left w:w="108" w:type="dxa"/>
            <w:bottom w:w="0" w:type="dxa"/>
            <w:right w:w="108" w:type="dxa"/>
          </w:tblCellMar>
        </w:tblPrEx>
        <w:trPr>
          <w:trHeight w:val="810" w:hRule="atLeast"/>
        </w:trPr>
        <w:tc>
          <w:tcPr>
            <w:tcW w:w="2596"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仿宋"/>
                <w:color w:val="000000"/>
                <w:kern w:val="0"/>
                <w:szCs w:val="21"/>
              </w:rPr>
            </w:pPr>
            <w:r>
              <w:rPr>
                <w:rFonts w:hint="eastAsia" w:ascii="仿宋" w:hAnsi="仿宋" w:eastAsia="仿宋" w:cs="仿宋"/>
                <w:color w:val="000000"/>
                <w:kern w:val="0"/>
                <w:szCs w:val="21"/>
              </w:rPr>
              <w:t>森林经营活动的环境影响监测</w:t>
            </w:r>
          </w:p>
        </w:tc>
        <w:tc>
          <w:tcPr>
            <w:tcW w:w="3033"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仿宋"/>
                <w:color w:val="000000"/>
                <w:kern w:val="0"/>
                <w:szCs w:val="21"/>
              </w:rPr>
            </w:pPr>
            <w:r>
              <w:rPr>
                <w:rFonts w:hint="eastAsia" w:ascii="仿宋" w:hAnsi="仿宋" w:eastAsia="仿宋" w:cs="仿宋"/>
                <w:color w:val="000000"/>
                <w:kern w:val="0"/>
                <w:szCs w:val="21"/>
              </w:rPr>
              <w:t>经营活动的种类，持续时间，活动范围，以及因活动可能影响的各项指标</w:t>
            </w:r>
          </w:p>
        </w:tc>
        <w:tc>
          <w:tcPr>
            <w:tcW w:w="1655"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仿宋"/>
                <w:color w:val="000000"/>
                <w:kern w:val="0"/>
                <w:szCs w:val="21"/>
              </w:rPr>
            </w:pPr>
            <w:r>
              <w:rPr>
                <w:rFonts w:hint="eastAsia" w:ascii="仿宋" w:hAnsi="仿宋" w:eastAsia="仿宋" w:cs="仿宋"/>
                <w:color w:val="000000"/>
                <w:kern w:val="0"/>
                <w:szCs w:val="21"/>
              </w:rPr>
              <w:t>环境影响评估、临时样地、资料收集、访问调查等</w:t>
            </w:r>
          </w:p>
        </w:tc>
        <w:tc>
          <w:tcPr>
            <w:tcW w:w="1100"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仿宋"/>
                <w:color w:val="000000"/>
                <w:kern w:val="0"/>
                <w:szCs w:val="21"/>
              </w:rPr>
            </w:pPr>
            <w:r>
              <w:rPr>
                <w:rFonts w:hint="eastAsia" w:ascii="仿宋" w:hAnsi="仿宋" w:eastAsia="仿宋" w:cs="仿宋"/>
                <w:color w:val="000000"/>
                <w:kern w:val="0"/>
                <w:szCs w:val="21"/>
              </w:rPr>
              <w:t>随机</w:t>
            </w:r>
          </w:p>
        </w:tc>
      </w:tr>
      <w:tr>
        <w:tblPrEx>
          <w:tblCellMar>
            <w:top w:w="0" w:type="dxa"/>
            <w:left w:w="108" w:type="dxa"/>
            <w:bottom w:w="0" w:type="dxa"/>
            <w:right w:w="108" w:type="dxa"/>
          </w:tblCellMar>
        </w:tblPrEx>
        <w:trPr>
          <w:trHeight w:val="1080" w:hRule="atLeast"/>
        </w:trPr>
        <w:tc>
          <w:tcPr>
            <w:tcW w:w="2596"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仿宋"/>
                <w:color w:val="000000"/>
                <w:kern w:val="0"/>
                <w:szCs w:val="21"/>
              </w:rPr>
            </w:pPr>
            <w:r>
              <w:rPr>
                <w:rFonts w:hint="eastAsia" w:ascii="仿宋" w:hAnsi="仿宋" w:eastAsia="仿宋" w:cs="仿宋"/>
                <w:color w:val="000000"/>
                <w:kern w:val="0"/>
                <w:szCs w:val="21"/>
              </w:rPr>
              <w:t>森林经营活动的社会影响监测</w:t>
            </w:r>
          </w:p>
        </w:tc>
        <w:tc>
          <w:tcPr>
            <w:tcW w:w="3033"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仿宋"/>
                <w:color w:val="000000"/>
                <w:kern w:val="0"/>
                <w:szCs w:val="21"/>
              </w:rPr>
            </w:pPr>
            <w:r>
              <w:rPr>
                <w:rFonts w:hint="eastAsia" w:ascii="仿宋" w:hAnsi="仿宋" w:eastAsia="仿宋" w:cs="仿宋"/>
                <w:color w:val="000000"/>
                <w:kern w:val="0"/>
                <w:szCs w:val="21"/>
              </w:rPr>
              <w:t>内部职工的意见、诉求，各利益相关方和当地社区对经营活动的意见和建议，以及经营活动对当地社会产生的影响等</w:t>
            </w:r>
          </w:p>
        </w:tc>
        <w:tc>
          <w:tcPr>
            <w:tcW w:w="1655"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仿宋"/>
                <w:color w:val="000000"/>
                <w:kern w:val="0"/>
                <w:szCs w:val="21"/>
              </w:rPr>
            </w:pPr>
            <w:r>
              <w:rPr>
                <w:rFonts w:hint="eastAsia" w:ascii="仿宋" w:hAnsi="仿宋" w:eastAsia="仿宋" w:cs="仿宋"/>
                <w:color w:val="000000"/>
                <w:kern w:val="0"/>
                <w:szCs w:val="21"/>
              </w:rPr>
              <w:t>社会影响评估</w:t>
            </w:r>
          </w:p>
        </w:tc>
        <w:tc>
          <w:tcPr>
            <w:tcW w:w="1100"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仿宋"/>
                <w:color w:val="000000"/>
                <w:kern w:val="0"/>
                <w:szCs w:val="21"/>
              </w:rPr>
            </w:pPr>
            <w:r>
              <w:rPr>
                <w:rFonts w:hint="eastAsia" w:ascii="仿宋" w:hAnsi="仿宋" w:eastAsia="仿宋" w:cs="仿宋"/>
                <w:color w:val="000000"/>
                <w:kern w:val="0"/>
                <w:szCs w:val="21"/>
              </w:rPr>
              <w:t>每两年一次</w:t>
            </w:r>
          </w:p>
        </w:tc>
      </w:tr>
      <w:tr>
        <w:tblPrEx>
          <w:tblCellMar>
            <w:top w:w="0" w:type="dxa"/>
            <w:left w:w="108" w:type="dxa"/>
            <w:bottom w:w="0" w:type="dxa"/>
            <w:right w:w="108" w:type="dxa"/>
          </w:tblCellMar>
        </w:tblPrEx>
        <w:trPr>
          <w:trHeight w:val="540" w:hRule="atLeast"/>
        </w:trPr>
        <w:tc>
          <w:tcPr>
            <w:tcW w:w="1080" w:type="dxa"/>
            <w:gridSpan w:val="2"/>
            <w:vMerge w:val="restart"/>
            <w:tcBorders>
              <w:top w:val="single" w:color="auto" w:sz="4" w:space="0"/>
              <w:left w:val="single" w:color="auto" w:sz="4" w:space="0"/>
              <w:bottom w:val="single" w:color="000000" w:sz="4" w:space="0"/>
              <w:right w:val="single" w:color="000000" w:sz="4" w:space="0"/>
            </w:tcBorders>
            <w:shd w:val="clear" w:color="auto" w:fill="auto"/>
            <w:vAlign w:val="center"/>
          </w:tcPr>
          <w:p>
            <w:pPr>
              <w:widowControl/>
              <w:jc w:val="center"/>
              <w:rPr>
                <w:rFonts w:ascii="仿宋" w:hAnsi="仿宋" w:eastAsia="仿宋" w:cs="仿宋"/>
                <w:color w:val="000000"/>
                <w:kern w:val="0"/>
                <w:szCs w:val="21"/>
              </w:rPr>
            </w:pPr>
            <w:r>
              <w:rPr>
                <w:rFonts w:hint="eastAsia" w:ascii="仿宋" w:hAnsi="仿宋" w:eastAsia="仿宋" w:cs="仿宋"/>
                <w:color w:val="000000"/>
                <w:kern w:val="0"/>
                <w:szCs w:val="21"/>
              </w:rPr>
              <w:t>森林的环境价值及环境状况变化监测</w:t>
            </w:r>
          </w:p>
        </w:tc>
        <w:tc>
          <w:tcPr>
            <w:tcW w:w="1516"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仿宋"/>
                <w:color w:val="000000"/>
                <w:kern w:val="0"/>
                <w:szCs w:val="21"/>
              </w:rPr>
            </w:pPr>
            <w:r>
              <w:rPr>
                <w:rFonts w:hint="eastAsia" w:ascii="仿宋" w:hAnsi="仿宋" w:eastAsia="仿宋" w:cs="仿宋"/>
                <w:color w:val="000000"/>
                <w:kern w:val="0"/>
                <w:szCs w:val="21"/>
              </w:rPr>
              <w:t>土壤监测</w:t>
            </w:r>
          </w:p>
        </w:tc>
        <w:tc>
          <w:tcPr>
            <w:tcW w:w="3033"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仿宋"/>
                <w:color w:val="000000"/>
                <w:kern w:val="0"/>
                <w:szCs w:val="21"/>
              </w:rPr>
            </w:pPr>
            <w:r>
              <w:rPr>
                <w:rFonts w:hint="eastAsia" w:ascii="仿宋" w:hAnsi="仿宋" w:eastAsia="仿宋" w:cs="仿宋"/>
                <w:color w:val="000000"/>
                <w:kern w:val="0"/>
                <w:szCs w:val="21"/>
              </w:rPr>
              <w:t>土壤厚度、质地、结构、土壤酸性、养分元素含量等</w:t>
            </w:r>
          </w:p>
        </w:tc>
        <w:tc>
          <w:tcPr>
            <w:tcW w:w="1655"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仿宋"/>
                <w:color w:val="000000"/>
                <w:kern w:val="0"/>
                <w:szCs w:val="21"/>
              </w:rPr>
            </w:pPr>
            <w:r>
              <w:rPr>
                <w:rFonts w:hint="eastAsia" w:ascii="仿宋" w:hAnsi="仿宋" w:eastAsia="仿宋" w:cs="仿宋"/>
                <w:color w:val="000000"/>
                <w:kern w:val="0"/>
                <w:szCs w:val="21"/>
              </w:rPr>
              <w:t>固定样地取样，实验室送检</w:t>
            </w:r>
          </w:p>
        </w:tc>
        <w:tc>
          <w:tcPr>
            <w:tcW w:w="1100"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仿宋"/>
                <w:color w:val="000000"/>
                <w:kern w:val="0"/>
                <w:szCs w:val="21"/>
              </w:rPr>
            </w:pPr>
            <w:r>
              <w:rPr>
                <w:rFonts w:hint="eastAsia" w:ascii="仿宋" w:hAnsi="仿宋" w:eastAsia="仿宋" w:cs="仿宋"/>
                <w:color w:val="000000"/>
                <w:kern w:val="0"/>
                <w:szCs w:val="21"/>
              </w:rPr>
              <w:t>每两年一次</w:t>
            </w:r>
          </w:p>
        </w:tc>
      </w:tr>
      <w:tr>
        <w:tblPrEx>
          <w:tblCellMar>
            <w:top w:w="0" w:type="dxa"/>
            <w:left w:w="108" w:type="dxa"/>
            <w:bottom w:w="0" w:type="dxa"/>
            <w:right w:w="108" w:type="dxa"/>
          </w:tblCellMar>
        </w:tblPrEx>
        <w:trPr>
          <w:trHeight w:val="1080" w:hRule="atLeast"/>
        </w:trPr>
        <w:tc>
          <w:tcPr>
            <w:tcW w:w="1080" w:type="dxa"/>
            <w:gridSpan w:val="2"/>
            <w:vMerge w:val="continue"/>
            <w:tcBorders>
              <w:top w:val="single" w:color="auto" w:sz="4" w:space="0"/>
              <w:left w:val="single" w:color="auto" w:sz="4" w:space="0"/>
              <w:bottom w:val="single" w:color="000000" w:sz="4" w:space="0"/>
              <w:right w:val="single" w:color="000000" w:sz="4" w:space="0"/>
            </w:tcBorders>
            <w:vAlign w:val="center"/>
          </w:tcPr>
          <w:p>
            <w:pPr>
              <w:widowControl/>
              <w:jc w:val="left"/>
              <w:rPr>
                <w:rFonts w:ascii="仿宋" w:hAnsi="仿宋" w:eastAsia="仿宋" w:cs="仿宋"/>
                <w:color w:val="000000"/>
                <w:kern w:val="0"/>
                <w:szCs w:val="21"/>
              </w:rPr>
            </w:pPr>
          </w:p>
        </w:tc>
        <w:tc>
          <w:tcPr>
            <w:tcW w:w="1516"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仿宋"/>
                <w:color w:val="000000"/>
                <w:kern w:val="0"/>
                <w:szCs w:val="21"/>
              </w:rPr>
            </w:pPr>
            <w:r>
              <w:rPr>
                <w:rFonts w:hint="eastAsia" w:ascii="仿宋" w:hAnsi="仿宋" w:eastAsia="仿宋" w:cs="仿宋"/>
                <w:color w:val="000000"/>
                <w:kern w:val="0"/>
                <w:szCs w:val="21"/>
              </w:rPr>
              <w:t>水质和水量监测</w:t>
            </w:r>
          </w:p>
        </w:tc>
        <w:tc>
          <w:tcPr>
            <w:tcW w:w="3033"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仿宋"/>
                <w:color w:val="000000"/>
                <w:kern w:val="0"/>
                <w:szCs w:val="21"/>
              </w:rPr>
            </w:pPr>
            <w:r>
              <w:rPr>
                <w:rFonts w:hint="eastAsia" w:ascii="仿宋" w:hAnsi="仿宋" w:eastAsia="仿宋" w:cs="仿宋"/>
                <w:color w:val="000000"/>
                <w:kern w:val="0"/>
                <w:szCs w:val="21"/>
              </w:rPr>
              <w:t>记录水位变化，观测公司人工林作业（主要整地、施肥、砍伐、建路、修路等）对水土流失和水资源获得性的影响</w:t>
            </w:r>
          </w:p>
        </w:tc>
        <w:tc>
          <w:tcPr>
            <w:tcW w:w="1655"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仿宋"/>
                <w:color w:val="000000"/>
                <w:kern w:val="0"/>
                <w:szCs w:val="21"/>
              </w:rPr>
            </w:pPr>
            <w:r>
              <w:rPr>
                <w:rFonts w:hint="eastAsia" w:ascii="仿宋" w:hAnsi="仿宋" w:eastAsia="仿宋" w:cs="仿宋"/>
                <w:color w:val="000000"/>
                <w:kern w:val="0"/>
                <w:szCs w:val="21"/>
              </w:rPr>
              <w:t>收取水样，实验室送检</w:t>
            </w:r>
          </w:p>
        </w:tc>
        <w:tc>
          <w:tcPr>
            <w:tcW w:w="1100"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仿宋"/>
                <w:color w:val="000000"/>
                <w:kern w:val="0"/>
                <w:szCs w:val="21"/>
              </w:rPr>
            </w:pPr>
            <w:r>
              <w:rPr>
                <w:rFonts w:hint="eastAsia" w:ascii="仿宋" w:hAnsi="仿宋" w:eastAsia="仿宋" w:cs="仿宋"/>
                <w:color w:val="000000"/>
                <w:kern w:val="0"/>
                <w:szCs w:val="21"/>
              </w:rPr>
              <w:t>每两年一次</w:t>
            </w:r>
          </w:p>
        </w:tc>
      </w:tr>
      <w:tr>
        <w:tblPrEx>
          <w:tblCellMar>
            <w:top w:w="0" w:type="dxa"/>
            <w:left w:w="108" w:type="dxa"/>
            <w:bottom w:w="0" w:type="dxa"/>
            <w:right w:w="108" w:type="dxa"/>
          </w:tblCellMar>
        </w:tblPrEx>
        <w:trPr>
          <w:trHeight w:val="540" w:hRule="atLeast"/>
        </w:trPr>
        <w:tc>
          <w:tcPr>
            <w:tcW w:w="1080" w:type="dxa"/>
            <w:gridSpan w:val="2"/>
            <w:vMerge w:val="continue"/>
            <w:tcBorders>
              <w:top w:val="single" w:color="auto" w:sz="4" w:space="0"/>
              <w:left w:val="single" w:color="auto" w:sz="4" w:space="0"/>
              <w:bottom w:val="single" w:color="000000" w:sz="4" w:space="0"/>
              <w:right w:val="single" w:color="000000" w:sz="4" w:space="0"/>
            </w:tcBorders>
            <w:vAlign w:val="center"/>
          </w:tcPr>
          <w:p>
            <w:pPr>
              <w:widowControl/>
              <w:jc w:val="left"/>
              <w:rPr>
                <w:rFonts w:ascii="仿宋" w:hAnsi="仿宋" w:eastAsia="仿宋" w:cs="仿宋"/>
                <w:color w:val="000000"/>
                <w:kern w:val="0"/>
                <w:szCs w:val="21"/>
              </w:rPr>
            </w:pPr>
          </w:p>
        </w:tc>
        <w:tc>
          <w:tcPr>
            <w:tcW w:w="1516"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仿宋"/>
                <w:color w:val="000000"/>
                <w:kern w:val="0"/>
                <w:szCs w:val="21"/>
              </w:rPr>
            </w:pPr>
            <w:r>
              <w:rPr>
                <w:rFonts w:hint="eastAsia" w:ascii="仿宋" w:hAnsi="仿宋" w:eastAsia="仿宋" w:cs="仿宋"/>
                <w:color w:val="000000"/>
                <w:kern w:val="0"/>
                <w:szCs w:val="21"/>
              </w:rPr>
              <w:t>生物多样性监测</w:t>
            </w:r>
          </w:p>
        </w:tc>
        <w:tc>
          <w:tcPr>
            <w:tcW w:w="3033"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仿宋"/>
                <w:color w:val="000000"/>
                <w:kern w:val="0"/>
                <w:szCs w:val="21"/>
              </w:rPr>
            </w:pPr>
            <w:r>
              <w:rPr>
                <w:rFonts w:hint="eastAsia" w:ascii="仿宋" w:hAnsi="仿宋" w:eastAsia="仿宋" w:cs="仿宋"/>
                <w:color w:val="000000"/>
                <w:kern w:val="0"/>
                <w:szCs w:val="21"/>
              </w:rPr>
              <w:t>物种种类、数量、生境、是否属国家或地方保护种类等</w:t>
            </w:r>
          </w:p>
        </w:tc>
        <w:tc>
          <w:tcPr>
            <w:tcW w:w="1655"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仿宋"/>
                <w:color w:val="000000"/>
                <w:kern w:val="0"/>
                <w:szCs w:val="21"/>
              </w:rPr>
            </w:pPr>
            <w:r>
              <w:rPr>
                <w:rFonts w:hint="eastAsia" w:ascii="仿宋" w:hAnsi="仿宋" w:eastAsia="仿宋" w:cs="仿宋"/>
                <w:color w:val="000000"/>
                <w:kern w:val="0"/>
                <w:szCs w:val="21"/>
              </w:rPr>
              <w:t>永久样地调查、资料收集等</w:t>
            </w:r>
          </w:p>
        </w:tc>
        <w:tc>
          <w:tcPr>
            <w:tcW w:w="1100"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仿宋"/>
                <w:color w:val="000000"/>
                <w:kern w:val="0"/>
                <w:szCs w:val="21"/>
              </w:rPr>
            </w:pPr>
            <w:r>
              <w:rPr>
                <w:rFonts w:hint="eastAsia" w:ascii="仿宋" w:hAnsi="仿宋" w:eastAsia="仿宋" w:cs="仿宋"/>
                <w:color w:val="000000"/>
                <w:kern w:val="0"/>
                <w:szCs w:val="21"/>
              </w:rPr>
              <w:t>每年一次</w:t>
            </w:r>
          </w:p>
        </w:tc>
      </w:tr>
      <w:tr>
        <w:tblPrEx>
          <w:tblCellMar>
            <w:top w:w="0" w:type="dxa"/>
            <w:left w:w="108" w:type="dxa"/>
            <w:bottom w:w="0" w:type="dxa"/>
            <w:right w:w="108" w:type="dxa"/>
          </w:tblCellMar>
        </w:tblPrEx>
        <w:trPr>
          <w:trHeight w:val="1080" w:hRule="atLeast"/>
        </w:trPr>
        <w:tc>
          <w:tcPr>
            <w:tcW w:w="1080" w:type="dxa"/>
            <w:gridSpan w:val="2"/>
            <w:vMerge w:val="continue"/>
            <w:tcBorders>
              <w:top w:val="single" w:color="auto" w:sz="4" w:space="0"/>
              <w:left w:val="single" w:color="auto" w:sz="4" w:space="0"/>
              <w:bottom w:val="single" w:color="000000" w:sz="4" w:space="0"/>
              <w:right w:val="single" w:color="000000" w:sz="4" w:space="0"/>
            </w:tcBorders>
            <w:vAlign w:val="center"/>
          </w:tcPr>
          <w:p>
            <w:pPr>
              <w:widowControl/>
              <w:jc w:val="left"/>
              <w:rPr>
                <w:rFonts w:ascii="仿宋" w:hAnsi="仿宋" w:eastAsia="仿宋" w:cs="仿宋"/>
                <w:color w:val="000000"/>
                <w:kern w:val="0"/>
                <w:szCs w:val="21"/>
              </w:rPr>
            </w:pPr>
          </w:p>
        </w:tc>
        <w:tc>
          <w:tcPr>
            <w:tcW w:w="1516"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仿宋"/>
                <w:color w:val="000000"/>
                <w:kern w:val="0"/>
                <w:szCs w:val="21"/>
              </w:rPr>
            </w:pPr>
            <w:r>
              <w:rPr>
                <w:rFonts w:hint="eastAsia" w:ascii="仿宋" w:hAnsi="仿宋" w:eastAsia="仿宋" w:cs="仿宋"/>
                <w:color w:val="000000"/>
                <w:kern w:val="0"/>
                <w:szCs w:val="21"/>
              </w:rPr>
              <w:t>高保护价值及其他环境社会价值监测</w:t>
            </w:r>
          </w:p>
        </w:tc>
        <w:tc>
          <w:tcPr>
            <w:tcW w:w="3033"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仿宋"/>
                <w:color w:val="000000"/>
                <w:kern w:val="0"/>
                <w:szCs w:val="21"/>
              </w:rPr>
            </w:pPr>
            <w:r>
              <w:rPr>
                <w:rFonts w:hint="eastAsia" w:ascii="仿宋" w:hAnsi="仿宋" w:eastAsia="仿宋" w:cs="仿宋"/>
                <w:color w:val="000000"/>
                <w:kern w:val="0"/>
                <w:szCs w:val="21"/>
              </w:rPr>
              <w:t>森林的不同高保护价值及其他环境社会价值的动态变化情况；保护措施的实施情况；保护措施的有效性</w:t>
            </w:r>
          </w:p>
        </w:tc>
        <w:tc>
          <w:tcPr>
            <w:tcW w:w="1655"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仿宋"/>
                <w:color w:val="000000"/>
                <w:kern w:val="0"/>
                <w:szCs w:val="21"/>
              </w:rPr>
            </w:pPr>
            <w:r>
              <w:rPr>
                <w:rFonts w:hint="eastAsia" w:ascii="仿宋" w:hAnsi="仿宋" w:eastAsia="仿宋" w:cs="仿宋"/>
                <w:color w:val="000000"/>
                <w:kern w:val="0"/>
                <w:szCs w:val="21"/>
              </w:rPr>
              <w:t>常规监测、专项监测</w:t>
            </w:r>
          </w:p>
        </w:tc>
        <w:tc>
          <w:tcPr>
            <w:tcW w:w="1100"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仿宋"/>
                <w:color w:val="000000"/>
                <w:kern w:val="0"/>
                <w:szCs w:val="21"/>
              </w:rPr>
            </w:pPr>
            <w:r>
              <w:rPr>
                <w:rFonts w:hint="eastAsia" w:ascii="仿宋" w:hAnsi="仿宋" w:eastAsia="仿宋" w:cs="仿宋"/>
                <w:color w:val="000000"/>
                <w:kern w:val="0"/>
                <w:szCs w:val="21"/>
              </w:rPr>
              <w:t>每年一次</w:t>
            </w:r>
          </w:p>
        </w:tc>
      </w:tr>
      <w:tr>
        <w:tblPrEx>
          <w:tblCellMar>
            <w:top w:w="0" w:type="dxa"/>
            <w:left w:w="108" w:type="dxa"/>
            <w:bottom w:w="0" w:type="dxa"/>
            <w:right w:w="108" w:type="dxa"/>
          </w:tblCellMar>
        </w:tblPrEx>
        <w:trPr>
          <w:trHeight w:val="540" w:hRule="atLeast"/>
        </w:trPr>
        <w:tc>
          <w:tcPr>
            <w:tcW w:w="2596"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仿宋"/>
                <w:color w:val="000000"/>
                <w:kern w:val="0"/>
                <w:szCs w:val="21"/>
              </w:rPr>
            </w:pPr>
            <w:r>
              <w:rPr>
                <w:rFonts w:hint="eastAsia" w:ascii="仿宋" w:hAnsi="仿宋" w:eastAsia="仿宋" w:cs="仿宋"/>
                <w:color w:val="000000"/>
                <w:kern w:val="0"/>
                <w:szCs w:val="21"/>
              </w:rPr>
              <w:t>产销监管链监测</w:t>
            </w:r>
          </w:p>
        </w:tc>
        <w:tc>
          <w:tcPr>
            <w:tcW w:w="3033"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仿宋"/>
                <w:color w:val="000000"/>
                <w:kern w:val="0"/>
                <w:szCs w:val="21"/>
              </w:rPr>
            </w:pPr>
            <w:r>
              <w:rPr>
                <w:rFonts w:hint="eastAsia" w:ascii="仿宋" w:hAnsi="仿宋" w:eastAsia="仿宋" w:cs="仿宋"/>
                <w:color w:val="000000"/>
                <w:kern w:val="0"/>
                <w:szCs w:val="21"/>
              </w:rPr>
              <w:t>认证木材和非认证木材的采伐、运输、销售、储存情况；非木质林产品（胶乳）的生产、保鲜、存储、运输情况</w:t>
            </w:r>
          </w:p>
        </w:tc>
        <w:tc>
          <w:tcPr>
            <w:tcW w:w="1655"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仿宋"/>
                <w:color w:val="000000"/>
                <w:kern w:val="0"/>
                <w:szCs w:val="21"/>
              </w:rPr>
            </w:pPr>
            <w:r>
              <w:rPr>
                <w:rFonts w:hint="eastAsia" w:ascii="仿宋" w:hAnsi="仿宋" w:eastAsia="仿宋" w:cs="仿宋"/>
                <w:color w:val="000000"/>
                <w:kern w:val="0"/>
                <w:szCs w:val="21"/>
              </w:rPr>
              <w:t>资料收集和统计</w:t>
            </w:r>
          </w:p>
        </w:tc>
        <w:tc>
          <w:tcPr>
            <w:tcW w:w="1100"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仿宋"/>
                <w:color w:val="000000"/>
                <w:kern w:val="0"/>
                <w:szCs w:val="21"/>
              </w:rPr>
            </w:pPr>
            <w:r>
              <w:rPr>
                <w:rFonts w:hint="eastAsia" w:ascii="仿宋" w:hAnsi="仿宋" w:eastAsia="仿宋" w:cs="仿宋"/>
                <w:color w:val="000000"/>
                <w:kern w:val="0"/>
                <w:szCs w:val="21"/>
              </w:rPr>
              <w:t>每年统计一次</w:t>
            </w:r>
          </w:p>
        </w:tc>
      </w:tr>
    </w:tbl>
    <w:p>
      <w:pPr>
        <w:rPr>
          <w:rFonts w:ascii="仿宋" w:hAnsi="仿宋" w:eastAsia="仿宋" w:cs="仿宋"/>
          <w:szCs w:val="21"/>
        </w:rPr>
      </w:pPr>
    </w:p>
    <w:p>
      <w:pPr>
        <w:pStyle w:val="2"/>
        <w:ind w:firstLine="643"/>
        <w:rPr>
          <w:bCs/>
        </w:rPr>
      </w:pPr>
      <w:r>
        <w:rPr>
          <w:rFonts w:hint="eastAsia" w:ascii="仿宋" w:hAnsi="仿宋" w:eastAsia="仿宋" w:cs="仿宋"/>
          <w:sz w:val="32"/>
          <w:szCs w:val="32"/>
        </w:rPr>
        <w:t>五、监测结果</w:t>
      </w:r>
    </w:p>
    <w:p>
      <w:pPr>
        <w:pStyle w:val="3"/>
        <w:spacing w:line="360" w:lineRule="auto"/>
        <w:ind w:firstLine="482"/>
        <w:rPr>
          <w:rFonts w:ascii="仿宋" w:hAnsi="仿宋" w:eastAsia="仿宋" w:cs="仿宋"/>
          <w:b/>
          <w:bCs/>
          <w:sz w:val="24"/>
          <w:szCs w:val="24"/>
        </w:rPr>
      </w:pPr>
      <w:r>
        <w:rPr>
          <w:rFonts w:hint="eastAsia" w:ascii="仿宋" w:hAnsi="仿宋" w:eastAsia="仿宋" w:cs="仿宋"/>
          <w:b/>
          <w:bCs/>
          <w:sz w:val="24"/>
          <w:szCs w:val="24"/>
        </w:rPr>
        <w:t>（一）森林经营规划及经营活动监测</w:t>
      </w:r>
    </w:p>
    <w:p>
      <w:pPr>
        <w:pStyle w:val="4"/>
        <w:spacing w:line="360" w:lineRule="auto"/>
        <w:ind w:firstLine="482"/>
        <w:rPr>
          <w:rFonts w:ascii="仿宋" w:hAnsi="仿宋" w:eastAsia="仿宋" w:cs="仿宋"/>
          <w:b/>
          <w:bCs/>
          <w:sz w:val="24"/>
          <w:szCs w:val="24"/>
        </w:rPr>
      </w:pPr>
      <w:r>
        <w:rPr>
          <w:rFonts w:hint="eastAsia" w:ascii="仿宋" w:hAnsi="仿宋" w:eastAsia="仿宋" w:cs="仿宋"/>
          <w:b/>
          <w:bCs/>
          <w:sz w:val="24"/>
          <w:szCs w:val="24"/>
        </w:rPr>
        <w:t>1.林地资源及林木生长监测</w:t>
      </w:r>
    </w:p>
    <w:p>
      <w:pPr>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海胶集团此次参加认证的森林总面积为102872.9公顷，主栽树种为橡胶树。</w:t>
      </w:r>
    </w:p>
    <w:p>
      <w:pPr>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认证林地的森林蓄积量为12041414.54立方米。</w:t>
      </w:r>
    </w:p>
    <w:p>
      <w:pPr>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按林种分：经济林100621.8公顷，蓄积11631936.33立方米，分别占98.1%和96.6%；用材林面积1382.6公顷，蓄积299549.30立方米，分别占0.2%和2.5%，主要为一般用材林；防护林面积376.7公顷，蓄积101864.79立方米，分别占0.2%和0.8%；特用林面积225.4公顷，蓄积8063.12立方米，分别占0.2%和0.1%。</w:t>
      </w:r>
    </w:p>
    <w:p>
      <w:pPr>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按树种分：橡胶树9880.35公顷，11636744.25立方米，占总蓄积量96.6%；马占相思1236.9公顷，334838.87立方米，占总蓄积量2.8%；桉树156.3公顷，65544.09立方米，占总蓄积量0.5%；花梨木、沉香、母生树、木麻黄、橄榄、红心橙、绿橙、菠萝蜜、椰子、油茶、槟榔、竹子、樱花等其他树种合计面积2410公顷，4298.52立方米。</w:t>
      </w:r>
    </w:p>
    <w:p>
      <w:pPr>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按起源分：人工林12041414.54立方米。</w:t>
      </w:r>
    </w:p>
    <w:p>
      <w:pPr>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蓄积按龄组划分林木总面积102872.9公顷，活立木总蓄积量12041414.54立方米。按龄组划分如下：</w:t>
      </w:r>
    </w:p>
    <w:p>
      <w:pPr>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乔木林按龄组结构划分：幼龄林面积23005.1公顷、蓄积358113.66立方米，分别占林分面积、蓄积的22.4%和3.0%；中龄林面积10946.2公顷、蓄积635913.75立方米，分别占林分面积、蓄积的10.7%和5.3%；近熟林面积10065.7公顷、蓄积884414.07立方米，分别占林分面积、蓄积的9.8%和7.3%；成熟林面积23428.2公顷、蓄积2864579.64立方米，分别占林分面积、蓄积的22.8%和23.8%；过熟林面积35161.4公顷、蓄积7298392.41立方米，分别占林分面积、蓄积的34.3%和60.6%。</w:t>
      </w:r>
    </w:p>
    <w:p>
      <w:pPr>
        <w:spacing w:line="360" w:lineRule="auto"/>
        <w:ind w:firstLine="480" w:firstLineChars="200"/>
        <w:rPr>
          <w:sz w:val="28"/>
        </w:rPr>
      </w:pPr>
      <w:r>
        <w:rPr>
          <w:rFonts w:hint="eastAsia" w:ascii="仿宋" w:hAnsi="仿宋" w:eastAsia="仿宋" w:cs="仿宋"/>
          <w:sz w:val="24"/>
          <w:szCs w:val="24"/>
        </w:rPr>
        <w:t>为准确得到认证区域林地的变化情况，海胶集团森林认证工作小组在参加认证的14家分公司共设置了61块固定样地，固定样地监测的林分数据详见各分公司调查表2。</w:t>
      </w:r>
    </w:p>
    <w:p>
      <w:pPr>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本次开展固定样地复测后，根据复测数据：参加认证14家分公司上一年平均每亩蓄积量为6.8立方米，本次调查每亩蓄积量6.9立方米的对比，平均每亩蓄积量增长</w:t>
      </w:r>
      <w:r>
        <w:rPr>
          <w:rFonts w:hint="eastAsia" w:ascii="仿宋" w:hAnsi="仿宋" w:eastAsia="仿宋" w:cs="仿宋"/>
          <w:color w:val="000000" w:themeColor="text1"/>
          <w:sz w:val="24"/>
          <w:szCs w:val="24"/>
        </w:rPr>
        <w:t>0.1</w:t>
      </w:r>
      <w:r>
        <w:rPr>
          <w:rFonts w:hint="eastAsia" w:ascii="仿宋" w:hAnsi="仿宋" w:eastAsia="仿宋" w:cs="仿宋"/>
          <w:sz w:val="24"/>
          <w:szCs w:val="24"/>
        </w:rPr>
        <w:t>立方米。</w:t>
      </w:r>
    </w:p>
    <w:p>
      <w:pPr>
        <w:pStyle w:val="4"/>
        <w:spacing w:line="360" w:lineRule="auto"/>
        <w:ind w:firstLine="482"/>
        <w:rPr>
          <w:rFonts w:ascii="仿宋" w:hAnsi="仿宋" w:eastAsia="仿宋" w:cs="仿宋"/>
          <w:b/>
          <w:bCs/>
          <w:sz w:val="24"/>
          <w:szCs w:val="24"/>
        </w:rPr>
      </w:pPr>
      <w:r>
        <w:rPr>
          <w:rFonts w:hint="eastAsia" w:ascii="仿宋" w:hAnsi="仿宋" w:eastAsia="仿宋" w:cs="仿宋"/>
          <w:b/>
          <w:bCs/>
          <w:sz w:val="24"/>
          <w:szCs w:val="24"/>
        </w:rPr>
        <w:t>2. 非木质林产品监测</w:t>
      </w:r>
    </w:p>
    <w:p>
      <w:pPr>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海胶集团FSC</w:t>
      </w:r>
      <w:r>
        <w:rPr>
          <w:rFonts w:hint="eastAsia" w:ascii="仿宋" w:hAnsi="仿宋" w:eastAsia="仿宋" w:cs="仿宋"/>
          <w:sz w:val="24"/>
          <w:szCs w:val="24"/>
          <w:vertAlign w:val="superscript"/>
        </w:rPr>
        <w:t>®</w:t>
      </w:r>
      <w:r>
        <w:rPr>
          <w:rFonts w:hint="eastAsia" w:ascii="仿宋" w:hAnsi="仿宋" w:eastAsia="仿宋" w:cs="仿宋"/>
          <w:sz w:val="24"/>
          <w:szCs w:val="24"/>
        </w:rPr>
        <w:t>认证非木质林产品为天然橡胶胶乳，2025年14家分公司最大储胶能力60930吨，计划生产55216吨、实际完成51400吨，完成计划的93.1%；除了发展橡胶主业，公司鼓励开展其他非木质林产品经营，充分利用光能和地力，有利于保持水土，防止杂草竞争，增加短期效益，同时实行农林间作复合经营也是培肥林地的有效措施。</w:t>
      </w:r>
    </w:p>
    <w:p>
      <w:pPr>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海胶集团下属14家分公司开展了一定规模的林下种殖、养殖活动，如：</w:t>
      </w:r>
      <w:bookmarkStart w:id="1" w:name="OLE_LINK1"/>
      <w:r>
        <w:rPr>
          <w:rFonts w:hint="eastAsia" w:ascii="仿宋" w:hAnsi="仿宋" w:eastAsia="仿宋" w:cs="仿宋"/>
          <w:sz w:val="24"/>
          <w:szCs w:val="24"/>
        </w:rPr>
        <w:t>西联分公司抚育管理菠萝蜜2649亩；西培分公司西华9队种植香蕉208亩；白沙分公司白沙4队林下宽行间种橄榄148亩；龙江分公司珠碧江12队李汉良养牛136头、龙江长龙48队抚育管理菠萝蜜130亩；红林分公司红田7队林下种殖香蕉54.7亩；广坝7队林下种植香蕉124.8亩、红泉13队林下种植南瓜380亩；红泉13队林下种植辣椒407亩。阳江分公司新进1队、2队、15队、19队、20队、25队、29队、以及阳江26队抚育绿橙7600亩、菠萝蜜668亩、椰子321亩；乌石分公司岭头15队薛笃文抚育管理菠萝蜜320.7亩；中坤分公司中坤片16队邓雪廖抚育益智150亩；西达份公司引入农业公司发展林下经济，如：海南金麦穗农业发展有限公司在武胜队、美合队种植食用菌384亩；澄迈县仁兴镇拾村村股份经济合作联合社在13队种植凤梨249.17亩；陈建、将思婷在当简队、16队种植凤梨386.78亩；仁谕生态责任有限公司在昆仑片当简队种植椰子109亩等。</w:t>
      </w:r>
    </w:p>
    <w:bookmarkEnd w:id="1"/>
    <w:p>
      <w:pPr>
        <w:pStyle w:val="4"/>
        <w:spacing w:line="360" w:lineRule="auto"/>
        <w:ind w:firstLine="482"/>
        <w:rPr>
          <w:rFonts w:ascii="仿宋" w:hAnsi="仿宋" w:eastAsia="仿宋" w:cs="仿宋"/>
          <w:b/>
          <w:bCs/>
          <w:sz w:val="24"/>
          <w:szCs w:val="24"/>
        </w:rPr>
      </w:pPr>
      <w:r>
        <w:rPr>
          <w:rFonts w:hint="eastAsia" w:ascii="仿宋" w:hAnsi="仿宋" w:eastAsia="仿宋" w:cs="仿宋"/>
          <w:b/>
          <w:bCs/>
          <w:sz w:val="24"/>
          <w:szCs w:val="24"/>
        </w:rPr>
        <w:t>3. 森林经营活动监测</w:t>
      </w:r>
    </w:p>
    <w:p>
      <w:pPr>
        <w:pStyle w:val="5"/>
        <w:spacing w:line="360" w:lineRule="auto"/>
        <w:ind w:firstLine="480"/>
        <w:rPr>
          <w:rFonts w:ascii="仿宋" w:hAnsi="仿宋" w:eastAsia="仿宋" w:cs="仿宋"/>
          <w:sz w:val="24"/>
          <w:szCs w:val="24"/>
        </w:rPr>
      </w:pPr>
      <w:r>
        <w:rPr>
          <w:rFonts w:hint="eastAsia" w:ascii="仿宋" w:hAnsi="仿宋" w:eastAsia="仿宋" w:cs="仿宋"/>
          <w:sz w:val="24"/>
          <w:szCs w:val="24"/>
        </w:rPr>
        <w:t>（1）更新造林</w:t>
      </w:r>
    </w:p>
    <w:p>
      <w:pPr>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2025年1月至12月全年造林总面积为2323.24公顷，比上年减少194.04公顷。</w:t>
      </w:r>
    </w:p>
    <w:p>
      <w:pPr>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按更新方式分：采伐迹地人工更新造林2323.24公顷。</w:t>
      </w:r>
    </w:p>
    <w:p>
      <w:pPr>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按树种分：橡胶2323.24公顷。</w:t>
      </w:r>
    </w:p>
    <w:p>
      <w:pPr>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造林成活率成活率：2025年1月至12月更新改造林，平均成活率为99.5%，平均树高为1.74m。</w:t>
      </w:r>
    </w:p>
    <w:p>
      <w:pPr>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造林橡胶树种主要PR107、热研7-33-97、热研7-20-59等橡胶品系，没有使用转基因物种。</w:t>
      </w:r>
    </w:p>
    <w:p>
      <w:pPr>
        <w:pStyle w:val="5"/>
        <w:spacing w:line="360" w:lineRule="auto"/>
        <w:ind w:firstLine="480"/>
        <w:rPr>
          <w:rFonts w:ascii="仿宋" w:hAnsi="仿宋" w:eastAsia="仿宋" w:cs="仿宋"/>
          <w:sz w:val="24"/>
          <w:szCs w:val="24"/>
        </w:rPr>
      </w:pPr>
      <w:r>
        <w:rPr>
          <w:rFonts w:hint="eastAsia" w:ascii="仿宋" w:hAnsi="仿宋" w:eastAsia="仿宋" w:cs="仿宋"/>
          <w:sz w:val="24"/>
          <w:szCs w:val="24"/>
        </w:rPr>
        <w:t>（2）抚育</w:t>
      </w:r>
    </w:p>
    <w:p>
      <w:pPr>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2025年1月至12月对当年种植橡胶树进行除草、施肥等抚育活动，其中除草面积2323.24公顷，施肥面积2323.24公顷；第2—7年橡胶中小苗抚管面积</w:t>
      </w:r>
    </w:p>
    <w:p>
      <w:pPr>
        <w:spacing w:line="360" w:lineRule="auto"/>
        <w:rPr>
          <w:rFonts w:ascii="仿宋" w:hAnsi="仿宋" w:eastAsia="仿宋" w:cs="仿宋"/>
          <w:sz w:val="24"/>
          <w:szCs w:val="24"/>
        </w:rPr>
      </w:pPr>
      <w:r>
        <w:rPr>
          <w:rFonts w:hint="eastAsia" w:ascii="仿宋" w:hAnsi="仿宋" w:eastAsia="仿宋" w:cs="仿宋"/>
          <w:sz w:val="24"/>
          <w:szCs w:val="24"/>
        </w:rPr>
        <w:t>13109公顷，施用化肥6028吨，有机肥60280吨，平均施化肥1公斤/株、有机肥10公斤/株，化肥单株施用量与去年持平，化肥总量减少2278吨，有机肥单株施用量与上年持平，有机肥总量减少22780吨。</w:t>
      </w:r>
    </w:p>
    <w:p>
      <w:pPr>
        <w:pStyle w:val="5"/>
        <w:spacing w:line="360" w:lineRule="auto"/>
        <w:ind w:firstLine="480"/>
        <w:rPr>
          <w:rFonts w:ascii="仿宋" w:hAnsi="仿宋" w:eastAsia="仿宋" w:cs="仿宋"/>
          <w:sz w:val="24"/>
          <w:szCs w:val="24"/>
        </w:rPr>
      </w:pPr>
      <w:r>
        <w:rPr>
          <w:rFonts w:hint="eastAsia" w:ascii="仿宋" w:hAnsi="仿宋" w:eastAsia="仿宋" w:cs="仿宋"/>
          <w:sz w:val="24"/>
          <w:szCs w:val="24"/>
        </w:rPr>
        <w:t>（3）采伐</w:t>
      </w:r>
    </w:p>
    <w:p>
      <w:pPr>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2025年1月至12月生产木材共计</w:t>
      </w:r>
      <w:r>
        <w:rPr>
          <w:rFonts w:hint="eastAsia" w:ascii="仿宋" w:hAnsi="仿宋" w:eastAsia="仿宋" w:cs="仿宋"/>
          <w:sz w:val="24"/>
          <w:szCs w:val="24"/>
          <w:lang w:val="en-US" w:eastAsia="zh-CN"/>
        </w:rPr>
        <w:t>256041</w:t>
      </w:r>
      <w:r>
        <w:rPr>
          <w:rFonts w:hint="eastAsia" w:ascii="仿宋" w:hAnsi="仿宋" w:eastAsia="仿宋" w:cs="仿宋"/>
          <w:sz w:val="24"/>
          <w:szCs w:val="24"/>
        </w:rPr>
        <w:t>立方米，比上年</w:t>
      </w:r>
      <w:r>
        <w:rPr>
          <w:rFonts w:hint="eastAsia" w:ascii="仿宋" w:hAnsi="仿宋" w:eastAsia="仿宋" w:cs="仿宋"/>
          <w:sz w:val="24"/>
          <w:szCs w:val="24"/>
          <w:lang w:val="en-US" w:eastAsia="zh-CN"/>
        </w:rPr>
        <w:t>减少17617</w:t>
      </w:r>
      <w:r>
        <w:rPr>
          <w:rFonts w:hint="eastAsia" w:ascii="仿宋" w:hAnsi="仿宋" w:eastAsia="仿宋" w:cs="仿宋"/>
          <w:sz w:val="24"/>
          <w:szCs w:val="24"/>
        </w:rPr>
        <w:t>立方米，采伐面积</w:t>
      </w:r>
      <w:r>
        <w:rPr>
          <w:rFonts w:hint="eastAsia" w:ascii="仿宋" w:hAnsi="仿宋" w:eastAsia="仿宋" w:cs="仿宋"/>
          <w:sz w:val="24"/>
          <w:szCs w:val="24"/>
          <w:lang w:val="en-US" w:eastAsia="zh-CN"/>
        </w:rPr>
        <w:t>2359</w:t>
      </w:r>
      <w:r>
        <w:rPr>
          <w:rFonts w:hint="eastAsia" w:ascii="仿宋" w:hAnsi="仿宋" w:eastAsia="仿宋" w:cs="仿宋"/>
          <w:sz w:val="24"/>
          <w:szCs w:val="24"/>
        </w:rPr>
        <w:t>公顷，比上年减少</w:t>
      </w:r>
      <w:r>
        <w:rPr>
          <w:rFonts w:hint="eastAsia" w:ascii="仿宋" w:hAnsi="仿宋" w:eastAsia="仿宋" w:cs="仿宋"/>
          <w:sz w:val="24"/>
          <w:szCs w:val="24"/>
          <w:lang w:val="en-US" w:eastAsia="zh-CN"/>
        </w:rPr>
        <w:t>667</w:t>
      </w:r>
      <w:r>
        <w:rPr>
          <w:rFonts w:hint="eastAsia" w:ascii="仿宋" w:hAnsi="仿宋" w:eastAsia="仿宋" w:cs="仿宋"/>
          <w:sz w:val="24"/>
          <w:szCs w:val="24"/>
        </w:rPr>
        <w:t>公顷。</w:t>
      </w:r>
    </w:p>
    <w:p>
      <w:pPr>
        <w:pStyle w:val="4"/>
        <w:spacing w:line="360" w:lineRule="auto"/>
        <w:ind w:firstLine="482"/>
        <w:rPr>
          <w:rFonts w:ascii="仿宋" w:hAnsi="仿宋" w:eastAsia="仿宋" w:cs="仿宋"/>
          <w:b/>
          <w:bCs/>
          <w:sz w:val="24"/>
          <w:szCs w:val="24"/>
        </w:rPr>
      </w:pPr>
      <w:r>
        <w:rPr>
          <w:rFonts w:hint="eastAsia" w:ascii="仿宋" w:hAnsi="仿宋" w:eastAsia="仿宋" w:cs="仿宋"/>
          <w:b/>
          <w:bCs/>
          <w:sz w:val="24"/>
          <w:szCs w:val="24"/>
        </w:rPr>
        <w:t>4. 森林防护与安全监测</w:t>
      </w:r>
      <w:bookmarkStart w:id="2" w:name="_GoBack"/>
      <w:bookmarkEnd w:id="2"/>
    </w:p>
    <w:p>
      <w:pPr>
        <w:pStyle w:val="5"/>
        <w:spacing w:line="360" w:lineRule="auto"/>
        <w:ind w:firstLine="480"/>
        <w:rPr>
          <w:rFonts w:ascii="仿宋" w:hAnsi="仿宋" w:eastAsia="仿宋" w:cs="仿宋"/>
          <w:sz w:val="24"/>
          <w:szCs w:val="24"/>
        </w:rPr>
      </w:pPr>
      <w:r>
        <w:rPr>
          <w:rFonts w:hint="eastAsia" w:ascii="仿宋" w:hAnsi="仿宋" w:eastAsia="仿宋" w:cs="仿宋"/>
          <w:sz w:val="24"/>
          <w:szCs w:val="24"/>
        </w:rPr>
        <w:t>（1）林政管理与森林管护监测</w:t>
      </w:r>
    </w:p>
    <w:p>
      <w:pPr>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2025年1月至12月没有发生盗伐林木情况，林地被侵占事件39起、72.94公顷，当地政府林地征占用27.4公顷，没有天然林转化为人工林情况。</w:t>
      </w:r>
    </w:p>
    <w:p>
      <w:pPr>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海胶集团FSC</w:t>
      </w:r>
      <w:r>
        <w:rPr>
          <w:rFonts w:hint="eastAsia" w:ascii="仿宋" w:hAnsi="仿宋" w:eastAsia="仿宋" w:cs="仿宋"/>
          <w:sz w:val="24"/>
          <w:szCs w:val="24"/>
          <w:vertAlign w:val="superscript"/>
        </w:rPr>
        <w:t>®</w:t>
      </w:r>
      <w:r>
        <w:rPr>
          <w:rFonts w:hint="eastAsia" w:ascii="仿宋" w:hAnsi="仿宋" w:eastAsia="仿宋" w:cs="仿宋"/>
          <w:sz w:val="24"/>
          <w:szCs w:val="24"/>
        </w:rPr>
        <w:t>认证的14家单位共聘用680名护林员，每年每人巡护220天，另外专门配备公益林管护人员206名[其中：专职护林人员169名，技术人员（兼职）11名，管理人员（兼职）26名]对公益林进行常态化管理，护林员保护了公司森林资源不受破坏，及时发现林地内的非法活动13起，全部通过内部协商完成调解或处理13起。</w:t>
      </w:r>
    </w:p>
    <w:p>
      <w:pPr>
        <w:pStyle w:val="5"/>
        <w:spacing w:line="360" w:lineRule="auto"/>
        <w:ind w:firstLine="480"/>
        <w:rPr>
          <w:rFonts w:ascii="仿宋" w:hAnsi="仿宋" w:eastAsia="仿宋" w:cs="仿宋"/>
          <w:sz w:val="24"/>
          <w:szCs w:val="24"/>
        </w:rPr>
      </w:pPr>
      <w:r>
        <w:rPr>
          <w:rFonts w:hint="eastAsia" w:ascii="仿宋" w:hAnsi="仿宋" w:eastAsia="仿宋" w:cs="仿宋"/>
          <w:sz w:val="24"/>
          <w:szCs w:val="24"/>
        </w:rPr>
        <w:t>（2）森林防火监测</w:t>
      </w:r>
    </w:p>
    <w:p>
      <w:pPr>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公司贯彻落实“预防为主、积极消灭”的森林防火工作方针，主要依靠地方专业防火力量，2025年1月至12月没有发生森林火灾，过火林地面积为零。</w:t>
      </w:r>
    </w:p>
    <w:p>
      <w:pPr>
        <w:pStyle w:val="5"/>
        <w:spacing w:line="360" w:lineRule="auto"/>
        <w:ind w:firstLine="480"/>
        <w:rPr>
          <w:rFonts w:ascii="仿宋" w:hAnsi="仿宋" w:eastAsia="仿宋" w:cs="仿宋"/>
          <w:sz w:val="24"/>
          <w:szCs w:val="24"/>
        </w:rPr>
      </w:pPr>
      <w:r>
        <w:rPr>
          <w:rFonts w:hint="eastAsia" w:ascii="仿宋" w:hAnsi="仿宋" w:eastAsia="仿宋" w:cs="仿宋"/>
          <w:sz w:val="24"/>
          <w:szCs w:val="24"/>
        </w:rPr>
        <w:t>（3）森林病虫害防治监测</w:t>
      </w:r>
    </w:p>
    <w:p>
      <w:pPr>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公司森林病虫害防治和林业有害生物治理遵循“预防为主，综合治理”的方针，积极配合上级部门开展林业有害生物检疫性普查工作。在日常防治过程中，保护林内各种有益生物，提高森林天然免疫力，杜绝使用FSC</w:t>
      </w:r>
      <w:r>
        <w:rPr>
          <w:rFonts w:hint="eastAsia" w:ascii="仿宋" w:hAnsi="仿宋" w:eastAsia="仿宋" w:cs="仿宋"/>
          <w:sz w:val="24"/>
          <w:szCs w:val="24"/>
          <w:vertAlign w:val="superscript"/>
        </w:rPr>
        <w:t>®</w:t>
      </w:r>
      <w:r>
        <w:rPr>
          <w:rFonts w:hint="eastAsia" w:ascii="仿宋" w:hAnsi="仿宋" w:eastAsia="仿宋" w:cs="仿宋"/>
          <w:sz w:val="24"/>
          <w:szCs w:val="24"/>
        </w:rPr>
        <w:t>禁用化学药品，同时强化化学药品使用的管理机制。</w:t>
      </w:r>
    </w:p>
    <w:p>
      <w:pPr>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2025年海胶集团林业有害生物累计发生面积6.34万公顷，发病率73.2%，其中成灾率为0。其中轻度2.45万公顷，中度1.42万公顷，重度2.47万公顷，主要防治橡胶树白粉病，防治药物为：325筛目有效含量为91%硫磺粉。该药物不在FSC®禁用化学药品之列，森林病害防治效果达95.8%，防治效果良好，进一步确保林分生长的健康和稳定。</w:t>
      </w:r>
    </w:p>
    <w:p>
      <w:pPr>
        <w:pStyle w:val="5"/>
        <w:spacing w:line="360" w:lineRule="auto"/>
        <w:ind w:firstLine="480"/>
        <w:rPr>
          <w:rFonts w:ascii="仿宋" w:hAnsi="仿宋" w:eastAsia="仿宋" w:cs="仿宋"/>
          <w:sz w:val="24"/>
          <w:szCs w:val="24"/>
        </w:rPr>
      </w:pPr>
      <w:r>
        <w:rPr>
          <w:rFonts w:hint="eastAsia" w:ascii="仿宋" w:hAnsi="仿宋" w:eastAsia="仿宋" w:cs="仿宋"/>
          <w:sz w:val="24"/>
          <w:szCs w:val="24"/>
        </w:rPr>
        <w:t>（4）外来物种监测</w:t>
      </w:r>
    </w:p>
    <w:p>
      <w:pPr>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巴西三叶橡胶树种虽然是外来物种，但引进我国种植已有100多年的历史，经过长期的自然选择和人工培育筛选基本驯化成本地物种，现在引种的橡胶品系（PR107、热研7-33-97、7-20-59）都是中国热作科学院橡胶研究所培育的品种，事实证明橡胶物种的引进没有对本土的物种、土壤、病虫害等带来入侵性危害。</w:t>
      </w:r>
    </w:p>
    <w:p>
      <w:pPr>
        <w:spacing w:line="360" w:lineRule="auto"/>
        <w:ind w:firstLine="480" w:firstLineChars="200"/>
        <w:rPr>
          <w:rFonts w:ascii="仿宋" w:hAnsi="仿宋" w:eastAsia="仿宋" w:cs="仿宋"/>
          <w:color w:val="000000" w:themeColor="text1"/>
          <w:sz w:val="24"/>
          <w:szCs w:val="24"/>
        </w:rPr>
      </w:pPr>
      <w:r>
        <w:rPr>
          <w:rFonts w:hint="eastAsia" w:ascii="仿宋" w:hAnsi="仿宋" w:eastAsia="仿宋" w:cs="仿宋"/>
          <w:color w:val="000000" w:themeColor="text1"/>
          <w:sz w:val="24"/>
          <w:szCs w:val="24"/>
        </w:rPr>
        <w:t>通过查阅《外来树种生物入侵风险评价》、《外来树种人工林下植物多样性及其入侵性研究：以橡胶树为例》、《外来树种桉树引种的景观生态安全格局》等相关专著和文献，了解到外来树种的入侵性应该表现在两个方面，一是外来树种对周围生境的入侵性，二是外来树种人工林被其它外来植物进行的入侵性。这些研究结果表明，第一，橡胶树经过长期的自然选择和人工培育筛选基本驯化成本地物种；第二，橡胶树不具备根蘖扩散的现象。</w:t>
      </w:r>
    </w:p>
    <w:p>
      <w:pPr>
        <w:spacing w:line="360" w:lineRule="auto"/>
        <w:ind w:firstLine="480" w:firstLineChars="200"/>
        <w:rPr>
          <w:rFonts w:ascii="仿宋" w:hAnsi="仿宋" w:eastAsia="仿宋" w:cs="仿宋"/>
          <w:color w:val="000000" w:themeColor="text1"/>
          <w:sz w:val="24"/>
          <w:szCs w:val="24"/>
        </w:rPr>
      </w:pPr>
      <w:r>
        <w:rPr>
          <w:rFonts w:hint="eastAsia" w:ascii="仿宋" w:hAnsi="仿宋" w:eastAsia="仿宋" w:cs="仿宋"/>
          <w:color w:val="000000" w:themeColor="text1"/>
          <w:sz w:val="24"/>
          <w:szCs w:val="24"/>
        </w:rPr>
        <w:t>根据多年的营林生产经验和日常巡护观察，橡胶树的更新主要依靠人工种植和萌芽，目前尚未发现橡胶树的入侵性，未见橡胶树人工林向种植地以外扩散，分公司将持续对种植橡胶树的林地进行观测。</w:t>
      </w:r>
    </w:p>
    <w:p>
      <w:pPr>
        <w:pStyle w:val="5"/>
        <w:spacing w:line="360" w:lineRule="auto"/>
        <w:ind w:firstLine="480"/>
        <w:rPr>
          <w:rFonts w:ascii="仿宋" w:hAnsi="仿宋" w:eastAsia="仿宋" w:cs="仿宋"/>
          <w:sz w:val="24"/>
          <w:szCs w:val="24"/>
        </w:rPr>
      </w:pPr>
      <w:r>
        <w:rPr>
          <w:rFonts w:hint="eastAsia" w:ascii="仿宋" w:hAnsi="仿宋" w:eastAsia="仿宋" w:cs="仿宋"/>
          <w:sz w:val="24"/>
          <w:szCs w:val="24"/>
        </w:rPr>
        <w:t>（5）自然灾害监测</w:t>
      </w:r>
    </w:p>
    <w:p>
      <w:pPr>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2025年1月至12月，发生台风4次，但影响均较轻。</w:t>
      </w:r>
    </w:p>
    <w:p>
      <w:pPr>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2025年1月至12月，全年无冻害影响，冻害零起，受损面积为零。</w:t>
      </w:r>
    </w:p>
    <w:p>
      <w:pPr>
        <w:pStyle w:val="5"/>
        <w:spacing w:line="360" w:lineRule="auto"/>
        <w:ind w:firstLine="480"/>
        <w:rPr>
          <w:rFonts w:ascii="仿宋" w:hAnsi="仿宋" w:eastAsia="仿宋" w:cs="仿宋"/>
          <w:sz w:val="24"/>
          <w:szCs w:val="24"/>
        </w:rPr>
      </w:pPr>
      <w:r>
        <w:rPr>
          <w:rFonts w:hint="eastAsia" w:ascii="仿宋" w:hAnsi="仿宋" w:eastAsia="仿宋" w:cs="仿宋"/>
          <w:sz w:val="24"/>
          <w:szCs w:val="24"/>
        </w:rPr>
        <w:t>（6）化学品和生物制剂使用监测</w:t>
      </w:r>
    </w:p>
    <w:p>
      <w:pPr>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2025年1月至12月，累计使用有机肥118021吨、无机肥16252吨。因公司目前的新造林以经营橡胶林为主，仍需及时施放肥料，</w:t>
      </w:r>
      <w:r>
        <w:rPr>
          <w:rFonts w:hint="eastAsia" w:ascii="仿宋" w:hAnsi="仿宋" w:eastAsia="仿宋" w:cs="仿宋"/>
          <w:iCs/>
          <w:color w:val="000000" w:themeColor="text1"/>
          <w:sz w:val="24"/>
          <w:szCs w:val="24"/>
        </w:rPr>
        <w:t>促进橡胶树生长，平衡土壤养分</w:t>
      </w:r>
      <w:r>
        <w:rPr>
          <w:rFonts w:hint="eastAsia" w:ascii="仿宋" w:hAnsi="仿宋" w:eastAsia="仿宋" w:cs="仿宋"/>
          <w:sz w:val="24"/>
          <w:szCs w:val="24"/>
        </w:rPr>
        <w:t>。</w:t>
      </w:r>
    </w:p>
    <w:p>
      <w:pPr>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2025年1月至12月，累计使用化学药品</w:t>
      </w:r>
      <w:r>
        <w:rPr>
          <w:rFonts w:hint="eastAsia" w:ascii="仿宋" w:hAnsi="仿宋" w:eastAsia="仿宋" w:cs="仿宋"/>
          <w:sz w:val="24"/>
          <w:szCs w:val="24"/>
          <w:lang w:val="en-US" w:eastAsia="zh-CN"/>
        </w:rPr>
        <w:t>2182</w:t>
      </w:r>
      <w:r>
        <w:rPr>
          <w:rFonts w:hint="eastAsia" w:ascii="仿宋" w:hAnsi="仿宋" w:eastAsia="仿宋" w:cs="仿宋"/>
          <w:sz w:val="24"/>
          <w:szCs w:val="24"/>
        </w:rPr>
        <w:t>吨，其中：硫磺粉药品1438.7吨、乙烯利303.58吨、割面涂封剂78.45吨、氨水357.64吨。在认证范围内，危害橡胶树的病虫害主要有白粉病，使用硫磺粉喷粉进行防治，如不进行防治，将会影响橡胶木材价值，严重则导致橡胶树因病落叶，影响当年橡胶产量；使用乙烯利作为刺激剂，促进胶树排胶，提高排胶效率；使用涂封剂在冬季涂封割面防寒，保护胶树健康生长；使用氨水对鲜胶乳进行保鲜。</w:t>
      </w:r>
    </w:p>
    <w:p>
      <w:pPr>
        <w:pStyle w:val="4"/>
        <w:spacing w:line="360" w:lineRule="auto"/>
        <w:ind w:firstLine="482"/>
        <w:rPr>
          <w:rFonts w:ascii="仿宋" w:hAnsi="仿宋" w:eastAsia="仿宋" w:cs="仿宋"/>
          <w:b/>
          <w:bCs/>
          <w:sz w:val="24"/>
          <w:szCs w:val="24"/>
        </w:rPr>
      </w:pPr>
      <w:r>
        <w:rPr>
          <w:rFonts w:hint="eastAsia" w:ascii="仿宋" w:hAnsi="仿宋" w:eastAsia="仿宋" w:cs="仿宋"/>
          <w:b/>
          <w:bCs/>
          <w:sz w:val="24"/>
          <w:szCs w:val="24"/>
        </w:rPr>
        <w:t>5. 经营规划及年度作业计划执行监测</w:t>
      </w:r>
    </w:p>
    <w:p>
      <w:pPr>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2025年完成橡胶林木销售面积</w:t>
      </w:r>
      <w:r>
        <w:rPr>
          <w:rFonts w:hint="eastAsia" w:ascii="仿宋" w:hAnsi="仿宋" w:eastAsia="仿宋" w:cs="仿宋"/>
          <w:sz w:val="24"/>
          <w:szCs w:val="24"/>
          <w:lang w:val="en-US" w:eastAsia="zh-CN"/>
        </w:rPr>
        <w:t>2359</w:t>
      </w:r>
      <w:r>
        <w:rPr>
          <w:rFonts w:hint="eastAsia" w:ascii="仿宋" w:hAnsi="仿宋" w:eastAsia="仿宋" w:cs="仿宋"/>
          <w:sz w:val="24"/>
          <w:szCs w:val="24"/>
        </w:rPr>
        <w:t>公顷，实际完成采伐面积</w:t>
      </w:r>
      <w:r>
        <w:rPr>
          <w:rFonts w:hint="eastAsia" w:ascii="仿宋" w:hAnsi="仿宋" w:eastAsia="仿宋" w:cs="仿宋"/>
          <w:sz w:val="24"/>
          <w:szCs w:val="24"/>
          <w:lang w:val="en-US" w:eastAsia="zh-CN"/>
        </w:rPr>
        <w:t>2359</w:t>
      </w:r>
      <w:r>
        <w:rPr>
          <w:rFonts w:hint="eastAsia" w:ascii="仿宋" w:hAnsi="仿宋" w:eastAsia="仿宋" w:cs="仿宋"/>
          <w:sz w:val="24"/>
          <w:szCs w:val="24"/>
        </w:rPr>
        <w:t>公顷、出材量</w:t>
      </w:r>
      <w:r>
        <w:rPr>
          <w:rFonts w:hint="eastAsia" w:ascii="仿宋" w:hAnsi="仿宋" w:eastAsia="仿宋" w:cs="仿宋"/>
          <w:sz w:val="24"/>
          <w:szCs w:val="24"/>
          <w:lang w:val="en-US" w:eastAsia="zh-CN"/>
        </w:rPr>
        <w:t>256041</w:t>
      </w:r>
      <w:r>
        <w:rPr>
          <w:rFonts w:hint="eastAsia" w:ascii="仿宋" w:hAnsi="仿宋" w:eastAsia="仿宋" w:cs="仿宋"/>
          <w:sz w:val="24"/>
          <w:szCs w:val="24"/>
        </w:rPr>
        <w:t>立方米。</w:t>
      </w:r>
    </w:p>
    <w:p>
      <w:pPr>
        <w:spacing w:line="360" w:lineRule="auto"/>
        <w:ind w:firstLine="480" w:firstLineChars="200"/>
        <w:rPr>
          <w:rFonts w:ascii="仿宋" w:hAnsi="仿宋" w:eastAsia="仿宋" w:cs="仿宋"/>
          <w:color w:val="FF0000"/>
          <w:sz w:val="24"/>
          <w:szCs w:val="24"/>
          <w:shd w:val="clear" w:color="auto" w:fill="FFFFFF"/>
        </w:rPr>
      </w:pPr>
      <w:r>
        <w:rPr>
          <w:rFonts w:hint="eastAsia" w:ascii="仿宋" w:hAnsi="仿宋" w:eastAsia="仿宋" w:cs="仿宋"/>
          <w:sz w:val="24"/>
          <w:szCs w:val="24"/>
        </w:rPr>
        <w:t>非木质产品生产：</w:t>
      </w:r>
      <w:r>
        <w:rPr>
          <w:rFonts w:hint="eastAsia" w:ascii="仿宋" w:hAnsi="仿宋" w:eastAsia="仿宋" w:cs="仿宋"/>
          <w:sz w:val="24"/>
          <w:szCs w:val="24"/>
          <w:shd w:val="clear" w:color="auto" w:fill="FFFFFF"/>
        </w:rPr>
        <w:t>海胶集团2025年完成干胶产量为51400吨，规划近期年干胶产量目标65000吨，后期年干胶产量目标65000吨。</w:t>
      </w:r>
    </w:p>
    <w:p>
      <w:pPr>
        <w:spacing w:line="360" w:lineRule="auto"/>
        <w:ind w:firstLine="480" w:firstLineChars="200"/>
        <w:rPr>
          <w:rFonts w:ascii="仿宋" w:hAnsi="仿宋" w:eastAsia="仿宋" w:cs="仿宋"/>
          <w:sz w:val="24"/>
          <w:szCs w:val="24"/>
          <w:shd w:val="clear" w:color="auto" w:fill="FFFFFF"/>
        </w:rPr>
      </w:pPr>
      <w:r>
        <w:rPr>
          <w:rFonts w:hint="eastAsia" w:ascii="仿宋" w:hAnsi="仿宋" w:eastAsia="仿宋" w:cs="仿宋"/>
          <w:sz w:val="24"/>
          <w:szCs w:val="24"/>
          <w:shd w:val="clear" w:color="auto" w:fill="FFFFFF"/>
        </w:rPr>
        <w:t>经营规划及年度作业计划其他监测情况已体现在本报告中其它部分，具体见下表：</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446"/>
        <w:gridCol w:w="40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0" w:type="auto"/>
            <w:vMerge w:val="restart"/>
            <w:vAlign w:val="center"/>
          </w:tcPr>
          <w:p>
            <w:pPr>
              <w:adjustRightInd w:val="0"/>
              <w:snapToGrid w:val="0"/>
              <w:jc w:val="center"/>
              <w:rPr>
                <w:rFonts w:ascii="仿宋" w:hAnsi="仿宋" w:eastAsia="仿宋" w:cs="仿宋"/>
                <w:b/>
                <w:bCs/>
                <w:szCs w:val="21"/>
              </w:rPr>
            </w:pPr>
            <w:r>
              <w:rPr>
                <w:rFonts w:hint="eastAsia" w:ascii="仿宋" w:hAnsi="仿宋" w:eastAsia="仿宋" w:cs="仿宋"/>
                <w:b/>
                <w:bCs/>
                <w:szCs w:val="21"/>
              </w:rPr>
              <w:t>总体目标</w:t>
            </w:r>
          </w:p>
        </w:tc>
        <w:tc>
          <w:tcPr>
            <w:tcW w:w="0" w:type="auto"/>
            <w:vMerge w:val="restart"/>
            <w:vAlign w:val="center"/>
          </w:tcPr>
          <w:p>
            <w:pPr>
              <w:adjustRightInd w:val="0"/>
              <w:snapToGrid w:val="0"/>
              <w:jc w:val="center"/>
              <w:rPr>
                <w:rFonts w:ascii="仿宋" w:hAnsi="仿宋" w:eastAsia="仿宋" w:cs="仿宋"/>
                <w:b/>
                <w:bCs/>
                <w:szCs w:val="21"/>
              </w:rPr>
            </w:pPr>
            <w:r>
              <w:rPr>
                <w:rFonts w:hint="eastAsia" w:ascii="仿宋" w:hAnsi="仿宋" w:eastAsia="仿宋" w:cs="仿宋"/>
                <w:b/>
                <w:bCs/>
                <w:szCs w:val="21"/>
              </w:rPr>
              <w:t>具体见：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0" w:type="auto"/>
            <w:vMerge w:val="continue"/>
          </w:tcPr>
          <w:p>
            <w:pPr>
              <w:adjustRightInd w:val="0"/>
              <w:snapToGrid w:val="0"/>
              <w:rPr>
                <w:rFonts w:ascii="仿宋" w:hAnsi="仿宋" w:eastAsia="仿宋" w:cs="仿宋"/>
                <w:b/>
                <w:szCs w:val="21"/>
              </w:rPr>
            </w:pPr>
          </w:p>
        </w:tc>
        <w:tc>
          <w:tcPr>
            <w:tcW w:w="0" w:type="auto"/>
            <w:vMerge w:val="continue"/>
          </w:tcPr>
          <w:p>
            <w:pPr>
              <w:adjustRightInd w:val="0"/>
              <w:snapToGrid w:val="0"/>
              <w:rPr>
                <w:rFonts w:ascii="仿宋" w:hAnsi="仿宋" w:eastAsia="仿宋" w:cs="仿宋"/>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pPr>
              <w:adjustRightInd w:val="0"/>
              <w:snapToGrid w:val="0"/>
              <w:rPr>
                <w:rFonts w:ascii="仿宋" w:hAnsi="仿宋" w:eastAsia="仿宋" w:cs="仿宋"/>
                <w:b/>
                <w:szCs w:val="21"/>
              </w:rPr>
            </w:pPr>
            <w:r>
              <w:rPr>
                <w:rFonts w:hint="eastAsia" w:ascii="仿宋" w:hAnsi="仿宋" w:eastAsia="仿宋" w:cs="仿宋"/>
                <w:szCs w:val="21"/>
              </w:rPr>
              <w:t>目标1：天然林特征的林地不得转化为人工林；林地不得转化为非林地</w:t>
            </w:r>
          </w:p>
        </w:tc>
        <w:tc>
          <w:tcPr>
            <w:tcW w:w="0" w:type="auto"/>
            <w:vAlign w:val="center"/>
          </w:tcPr>
          <w:p>
            <w:pPr>
              <w:adjustRightInd w:val="0"/>
              <w:snapToGrid w:val="0"/>
              <w:rPr>
                <w:rFonts w:ascii="仿宋" w:hAnsi="仿宋" w:eastAsia="仿宋" w:cs="仿宋"/>
                <w:szCs w:val="21"/>
              </w:rPr>
            </w:pPr>
            <w:r>
              <w:rPr>
                <w:rFonts w:hint="eastAsia" w:ascii="仿宋" w:hAnsi="仿宋" w:eastAsia="仿宋" w:cs="仿宋"/>
                <w:szCs w:val="21"/>
              </w:rPr>
              <w:t>林政管理与森林管护监测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pPr>
              <w:adjustRightInd w:val="0"/>
              <w:snapToGrid w:val="0"/>
              <w:rPr>
                <w:rFonts w:ascii="仿宋" w:hAnsi="仿宋" w:eastAsia="仿宋" w:cs="仿宋"/>
                <w:b/>
                <w:szCs w:val="21"/>
              </w:rPr>
            </w:pPr>
            <w:r>
              <w:rPr>
                <w:rFonts w:hint="eastAsia" w:ascii="仿宋" w:hAnsi="仿宋" w:eastAsia="仿宋" w:cs="仿宋"/>
                <w:szCs w:val="21"/>
              </w:rPr>
              <w:t>目标2：以乡土树种为主的林分面积不减少</w:t>
            </w:r>
          </w:p>
        </w:tc>
        <w:tc>
          <w:tcPr>
            <w:tcW w:w="0" w:type="auto"/>
            <w:vAlign w:val="center"/>
          </w:tcPr>
          <w:p>
            <w:pPr>
              <w:adjustRightInd w:val="0"/>
              <w:snapToGrid w:val="0"/>
              <w:rPr>
                <w:rFonts w:ascii="仿宋" w:hAnsi="仿宋" w:eastAsia="仿宋" w:cs="仿宋"/>
                <w:szCs w:val="21"/>
              </w:rPr>
            </w:pPr>
            <w:r>
              <w:rPr>
                <w:rFonts w:hint="eastAsia" w:ascii="仿宋" w:hAnsi="仿宋" w:eastAsia="仿宋" w:cs="仿宋"/>
                <w:szCs w:val="21"/>
              </w:rPr>
              <w:t>生物多样性监测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pPr>
              <w:adjustRightInd w:val="0"/>
              <w:snapToGrid w:val="0"/>
              <w:rPr>
                <w:rFonts w:ascii="仿宋" w:hAnsi="仿宋" w:eastAsia="仿宋" w:cs="仿宋"/>
                <w:b/>
                <w:szCs w:val="21"/>
              </w:rPr>
            </w:pPr>
            <w:r>
              <w:rPr>
                <w:rFonts w:hint="eastAsia" w:ascii="仿宋" w:hAnsi="仿宋" w:eastAsia="仿宋" w:cs="仿宋"/>
                <w:szCs w:val="21"/>
              </w:rPr>
              <w:t>目标3：维持干胶产量</w:t>
            </w:r>
          </w:p>
        </w:tc>
        <w:tc>
          <w:tcPr>
            <w:tcW w:w="0" w:type="auto"/>
            <w:vAlign w:val="center"/>
          </w:tcPr>
          <w:p>
            <w:pPr>
              <w:adjustRightInd w:val="0"/>
              <w:snapToGrid w:val="0"/>
              <w:rPr>
                <w:rFonts w:ascii="仿宋" w:hAnsi="仿宋" w:eastAsia="仿宋" w:cs="仿宋"/>
                <w:szCs w:val="21"/>
              </w:rPr>
            </w:pPr>
            <w:r>
              <w:rPr>
                <w:rFonts w:hint="eastAsia" w:ascii="仿宋" w:hAnsi="仿宋" w:eastAsia="仿宋" w:cs="仿宋"/>
                <w:szCs w:val="21"/>
              </w:rPr>
              <w:t>经济效益与预算执行监测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pPr>
              <w:adjustRightInd w:val="0"/>
              <w:snapToGrid w:val="0"/>
              <w:rPr>
                <w:rFonts w:ascii="仿宋" w:hAnsi="仿宋" w:eastAsia="仿宋" w:cs="仿宋"/>
                <w:b/>
                <w:szCs w:val="21"/>
              </w:rPr>
            </w:pPr>
            <w:r>
              <w:rPr>
                <w:rFonts w:hint="eastAsia" w:ascii="仿宋" w:hAnsi="仿宋" w:eastAsia="仿宋" w:cs="仿宋"/>
                <w:szCs w:val="21"/>
              </w:rPr>
              <w:t>目标4：维持现有林木总蓄积量</w:t>
            </w:r>
          </w:p>
        </w:tc>
        <w:tc>
          <w:tcPr>
            <w:tcW w:w="0" w:type="auto"/>
            <w:vAlign w:val="center"/>
          </w:tcPr>
          <w:p>
            <w:pPr>
              <w:adjustRightInd w:val="0"/>
              <w:snapToGrid w:val="0"/>
              <w:rPr>
                <w:rFonts w:ascii="仿宋" w:hAnsi="仿宋" w:eastAsia="仿宋" w:cs="仿宋"/>
                <w:szCs w:val="21"/>
              </w:rPr>
            </w:pPr>
            <w:r>
              <w:rPr>
                <w:rFonts w:hint="eastAsia" w:ascii="仿宋" w:hAnsi="仿宋" w:eastAsia="仿宋" w:cs="仿宋"/>
                <w:szCs w:val="21"/>
              </w:rPr>
              <w:t>林木生长监测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pPr>
              <w:adjustRightInd w:val="0"/>
              <w:snapToGrid w:val="0"/>
              <w:rPr>
                <w:rFonts w:ascii="仿宋" w:hAnsi="仿宋" w:eastAsia="仿宋" w:cs="仿宋"/>
                <w:b/>
                <w:szCs w:val="21"/>
              </w:rPr>
            </w:pPr>
            <w:r>
              <w:rPr>
                <w:rFonts w:hint="eastAsia" w:ascii="仿宋" w:hAnsi="仿宋" w:eastAsia="仿宋" w:cs="仿宋"/>
                <w:szCs w:val="21"/>
              </w:rPr>
              <w:t>目标5：重点敏感区域得到良好的保护</w:t>
            </w:r>
          </w:p>
        </w:tc>
        <w:tc>
          <w:tcPr>
            <w:tcW w:w="0" w:type="auto"/>
            <w:vAlign w:val="center"/>
          </w:tcPr>
          <w:p>
            <w:pPr>
              <w:adjustRightInd w:val="0"/>
              <w:snapToGrid w:val="0"/>
              <w:rPr>
                <w:rFonts w:ascii="仿宋" w:hAnsi="仿宋" w:eastAsia="仿宋" w:cs="仿宋"/>
                <w:szCs w:val="21"/>
              </w:rPr>
            </w:pPr>
            <w:r>
              <w:rPr>
                <w:rFonts w:hint="eastAsia" w:ascii="仿宋" w:hAnsi="仿宋" w:eastAsia="仿宋" w:cs="仿宋"/>
                <w:szCs w:val="21"/>
              </w:rPr>
              <w:t>森林环境价值及变化监测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pPr>
              <w:adjustRightInd w:val="0"/>
              <w:snapToGrid w:val="0"/>
              <w:rPr>
                <w:rFonts w:ascii="仿宋" w:hAnsi="仿宋" w:eastAsia="仿宋" w:cs="仿宋"/>
                <w:b/>
                <w:szCs w:val="21"/>
              </w:rPr>
            </w:pPr>
            <w:r>
              <w:rPr>
                <w:rFonts w:hint="eastAsia" w:ascii="仿宋" w:hAnsi="仿宋" w:eastAsia="仿宋" w:cs="仿宋"/>
                <w:szCs w:val="21"/>
              </w:rPr>
              <w:t>目标6：促进当地居民就业和增收</w:t>
            </w:r>
          </w:p>
        </w:tc>
        <w:tc>
          <w:tcPr>
            <w:tcW w:w="0" w:type="auto"/>
            <w:vAlign w:val="center"/>
          </w:tcPr>
          <w:p>
            <w:pPr>
              <w:adjustRightInd w:val="0"/>
              <w:snapToGrid w:val="0"/>
              <w:rPr>
                <w:rFonts w:ascii="仿宋" w:hAnsi="仿宋" w:eastAsia="仿宋" w:cs="仿宋"/>
                <w:szCs w:val="21"/>
              </w:rPr>
            </w:pPr>
            <w:r>
              <w:rPr>
                <w:rFonts w:hint="eastAsia" w:ascii="仿宋" w:hAnsi="仿宋" w:eastAsia="仿宋" w:cs="仿宋"/>
                <w:szCs w:val="21"/>
              </w:rPr>
              <w:t>社会效益和员工权益监测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pPr>
              <w:adjustRightInd w:val="0"/>
              <w:snapToGrid w:val="0"/>
              <w:rPr>
                <w:rFonts w:ascii="仿宋" w:hAnsi="仿宋" w:eastAsia="仿宋" w:cs="仿宋"/>
                <w:b/>
                <w:szCs w:val="21"/>
              </w:rPr>
            </w:pPr>
            <w:r>
              <w:rPr>
                <w:rFonts w:hint="eastAsia" w:ascii="仿宋" w:hAnsi="仿宋" w:eastAsia="仿宋" w:cs="仿宋"/>
                <w:szCs w:val="21"/>
              </w:rPr>
              <w:t>目标7：减少当地贫困人口</w:t>
            </w:r>
          </w:p>
        </w:tc>
        <w:tc>
          <w:tcPr>
            <w:tcW w:w="0" w:type="auto"/>
            <w:vAlign w:val="center"/>
          </w:tcPr>
          <w:p>
            <w:pPr>
              <w:adjustRightInd w:val="0"/>
              <w:snapToGrid w:val="0"/>
              <w:rPr>
                <w:rFonts w:ascii="仿宋" w:hAnsi="仿宋" w:eastAsia="仿宋" w:cs="仿宋"/>
                <w:szCs w:val="21"/>
              </w:rPr>
            </w:pPr>
            <w:r>
              <w:rPr>
                <w:rFonts w:hint="eastAsia" w:ascii="仿宋" w:hAnsi="仿宋" w:eastAsia="仿宋" w:cs="仿宋"/>
                <w:szCs w:val="21"/>
              </w:rPr>
              <w:t>社会效益和员工权益监测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pPr>
              <w:adjustRightInd w:val="0"/>
              <w:snapToGrid w:val="0"/>
              <w:rPr>
                <w:rFonts w:ascii="仿宋" w:hAnsi="仿宋" w:eastAsia="仿宋" w:cs="仿宋"/>
                <w:b/>
                <w:szCs w:val="21"/>
              </w:rPr>
            </w:pPr>
            <w:r>
              <w:rPr>
                <w:rFonts w:hint="eastAsia" w:ascii="仿宋" w:hAnsi="仿宋" w:eastAsia="仿宋" w:cs="仿宋"/>
                <w:szCs w:val="21"/>
              </w:rPr>
              <w:t>目标8：改善职工居住环境</w:t>
            </w:r>
          </w:p>
        </w:tc>
        <w:tc>
          <w:tcPr>
            <w:tcW w:w="0" w:type="auto"/>
            <w:vAlign w:val="center"/>
          </w:tcPr>
          <w:p>
            <w:pPr>
              <w:adjustRightInd w:val="0"/>
              <w:snapToGrid w:val="0"/>
              <w:rPr>
                <w:rFonts w:ascii="仿宋" w:hAnsi="仿宋" w:eastAsia="仿宋" w:cs="仿宋"/>
                <w:szCs w:val="21"/>
              </w:rPr>
            </w:pPr>
            <w:r>
              <w:rPr>
                <w:rFonts w:hint="eastAsia" w:ascii="仿宋" w:hAnsi="仿宋" w:eastAsia="仿宋" w:cs="仿宋"/>
                <w:szCs w:val="21"/>
              </w:rPr>
              <w:t>社会效益和员工权益监测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pPr>
              <w:adjustRightInd w:val="0"/>
              <w:snapToGrid w:val="0"/>
              <w:rPr>
                <w:rFonts w:ascii="仿宋" w:hAnsi="仿宋" w:eastAsia="仿宋" w:cs="仿宋"/>
                <w:szCs w:val="21"/>
              </w:rPr>
            </w:pPr>
            <w:r>
              <w:rPr>
                <w:rFonts w:hint="eastAsia" w:ascii="仿宋" w:hAnsi="仿宋" w:eastAsia="仿宋" w:cs="仿宋"/>
                <w:szCs w:val="21"/>
              </w:rPr>
              <w:t>目标9：保障劳动者健康与安全</w:t>
            </w:r>
          </w:p>
        </w:tc>
        <w:tc>
          <w:tcPr>
            <w:tcW w:w="0" w:type="auto"/>
            <w:vAlign w:val="center"/>
          </w:tcPr>
          <w:p>
            <w:pPr>
              <w:adjustRightInd w:val="0"/>
              <w:snapToGrid w:val="0"/>
              <w:rPr>
                <w:rFonts w:ascii="仿宋" w:hAnsi="仿宋" w:eastAsia="仿宋" w:cs="仿宋"/>
                <w:szCs w:val="21"/>
              </w:rPr>
            </w:pPr>
            <w:r>
              <w:rPr>
                <w:rFonts w:hint="eastAsia" w:ascii="仿宋" w:hAnsi="仿宋" w:eastAsia="仿宋" w:cs="仿宋"/>
                <w:szCs w:val="21"/>
              </w:rPr>
              <w:t>社会效益和员工权益监测、《利益方咨询与社会影响评估报告》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pPr>
              <w:adjustRightInd w:val="0"/>
              <w:snapToGrid w:val="0"/>
              <w:rPr>
                <w:rFonts w:ascii="仿宋" w:hAnsi="仿宋" w:eastAsia="仿宋" w:cs="仿宋"/>
                <w:szCs w:val="21"/>
              </w:rPr>
            </w:pPr>
            <w:r>
              <w:rPr>
                <w:rFonts w:hint="eastAsia" w:ascii="仿宋" w:hAnsi="仿宋" w:eastAsia="仿宋" w:cs="仿宋"/>
                <w:szCs w:val="21"/>
              </w:rPr>
              <w:t>目标10：加大社区参与力度</w:t>
            </w:r>
          </w:p>
        </w:tc>
        <w:tc>
          <w:tcPr>
            <w:tcW w:w="0" w:type="auto"/>
            <w:vAlign w:val="center"/>
          </w:tcPr>
          <w:p>
            <w:pPr>
              <w:adjustRightInd w:val="0"/>
              <w:snapToGrid w:val="0"/>
              <w:rPr>
                <w:rFonts w:ascii="仿宋" w:hAnsi="仿宋" w:eastAsia="仿宋" w:cs="仿宋"/>
                <w:szCs w:val="21"/>
              </w:rPr>
            </w:pPr>
            <w:r>
              <w:rPr>
                <w:rFonts w:hint="eastAsia" w:ascii="仿宋" w:hAnsi="仿宋" w:eastAsia="仿宋" w:cs="仿宋"/>
                <w:szCs w:val="21"/>
              </w:rPr>
              <w:t>社会效益和员工权益监测、《利益方咨询与社会影响评估报告》</w:t>
            </w:r>
          </w:p>
        </w:tc>
      </w:tr>
    </w:tbl>
    <w:p/>
    <w:p>
      <w:pPr>
        <w:pStyle w:val="4"/>
        <w:spacing w:line="360" w:lineRule="auto"/>
        <w:ind w:firstLine="482"/>
        <w:rPr>
          <w:rFonts w:ascii="仿宋" w:hAnsi="仿宋" w:eastAsia="仿宋" w:cs="仿宋"/>
          <w:b/>
          <w:bCs/>
          <w:sz w:val="24"/>
          <w:szCs w:val="24"/>
        </w:rPr>
      </w:pPr>
      <w:r>
        <w:rPr>
          <w:rFonts w:hint="eastAsia" w:ascii="仿宋" w:hAnsi="仿宋" w:eastAsia="仿宋" w:cs="仿宋"/>
          <w:b/>
          <w:bCs/>
          <w:sz w:val="24"/>
          <w:szCs w:val="24"/>
        </w:rPr>
        <w:t>6. 经济效益与预算执行监测</w:t>
      </w:r>
    </w:p>
    <w:p>
      <w:pPr>
        <w:pStyle w:val="4"/>
        <w:spacing w:line="360" w:lineRule="auto"/>
        <w:ind w:firstLine="480"/>
        <w:rPr>
          <w:rFonts w:ascii="仿宋" w:hAnsi="仿宋" w:eastAsia="仿宋" w:cs="仿宋"/>
          <w:color w:val="FF0000"/>
          <w:sz w:val="24"/>
          <w:szCs w:val="24"/>
        </w:rPr>
      </w:pPr>
      <w:r>
        <w:rPr>
          <w:rFonts w:hint="eastAsia" w:ascii="仿宋" w:hAnsi="仿宋" w:eastAsia="仿宋" w:cs="仿宋"/>
          <w:sz w:val="24"/>
          <w:szCs w:val="24"/>
        </w:rPr>
        <w:t>2025年，销售各类橡胶木材（含原木、活立木、木材制品）材积9.28万立方，销售收入20746.71万元，毛利2540.16万元。销售橡胶原料（干胶）81350.44吨，销售收入118550.13万元，毛利-34512.24万元。</w:t>
      </w:r>
    </w:p>
    <w:p>
      <w:pPr>
        <w:pStyle w:val="4"/>
        <w:spacing w:line="360" w:lineRule="auto"/>
        <w:ind w:firstLine="482"/>
        <w:rPr>
          <w:rFonts w:ascii="仿宋" w:hAnsi="仿宋" w:eastAsia="仿宋" w:cs="仿宋"/>
          <w:b/>
          <w:bCs/>
          <w:sz w:val="24"/>
          <w:szCs w:val="24"/>
        </w:rPr>
      </w:pPr>
      <w:r>
        <w:rPr>
          <w:rFonts w:hint="eastAsia" w:ascii="仿宋" w:hAnsi="仿宋" w:eastAsia="仿宋" w:cs="仿宋"/>
          <w:b/>
          <w:bCs/>
          <w:sz w:val="24"/>
          <w:szCs w:val="24"/>
        </w:rPr>
        <w:t>7. 社会效益与员工权益监测</w:t>
      </w:r>
    </w:p>
    <w:p>
      <w:pPr>
        <w:pStyle w:val="5"/>
        <w:spacing w:line="360" w:lineRule="auto"/>
        <w:ind w:firstLine="480"/>
        <w:rPr>
          <w:rFonts w:ascii="仿宋" w:hAnsi="仿宋" w:eastAsia="仿宋" w:cs="仿宋"/>
          <w:sz w:val="24"/>
          <w:szCs w:val="24"/>
        </w:rPr>
      </w:pPr>
      <w:r>
        <w:rPr>
          <w:rFonts w:hint="eastAsia" w:ascii="仿宋" w:hAnsi="仿宋" w:eastAsia="仿宋" w:cs="仿宋"/>
          <w:sz w:val="24"/>
          <w:szCs w:val="24"/>
        </w:rPr>
        <w:t>（1）提供就业</w:t>
      </w:r>
    </w:p>
    <w:p>
      <w:pPr>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累计提供就业人数1.504万人，其中：林木加工及委托代加工为社会提供就业人数达1.3万人，割胶为社会提供就业人数0.04万人，土地出租带动就业人数0.2万余人。</w:t>
      </w:r>
    </w:p>
    <w:p>
      <w:pPr>
        <w:pStyle w:val="5"/>
        <w:spacing w:line="360" w:lineRule="auto"/>
        <w:ind w:firstLine="480"/>
        <w:rPr>
          <w:rFonts w:ascii="仿宋" w:hAnsi="仿宋" w:eastAsia="仿宋" w:cs="仿宋"/>
          <w:sz w:val="24"/>
          <w:szCs w:val="24"/>
        </w:rPr>
      </w:pPr>
      <w:r>
        <w:rPr>
          <w:rFonts w:hint="eastAsia" w:ascii="仿宋" w:hAnsi="仿宋" w:eastAsia="仿宋" w:cs="仿宋"/>
          <w:sz w:val="24"/>
          <w:szCs w:val="24"/>
        </w:rPr>
        <w:t>（2）工人权益</w:t>
      </w:r>
    </w:p>
    <w:p>
      <w:pPr>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2025年1月至12月，儋州市、澄迈县地区认证单位（西联、八一、西培、）属于海南省一类工资标准，该地区员工月平均工资3050-4500元，均高于海南省一类最低工资标准（2250元/月）和小时工资标准（20元/小时）；所属白沙县、琼中县、昌江县、东方市、屯昌县、澄迈县地区认证单位（白沙、龙江、邦溪、红林、广坝、阳江、乌石、长征、加钗、中坤、西达等11家）属于海南省二类工资标准，该地区员工月平均工资3700-7033元，均高于海南二类最低工资标准（2070元/月）和小时工资标准（18.4元/小时）。为公司职工子女提供教育助学资金12，2万元，保障贫困家庭子女顺利入学。</w:t>
      </w:r>
    </w:p>
    <w:p>
      <w:pPr>
        <w:spacing w:line="360" w:lineRule="auto"/>
        <w:ind w:firstLine="480" w:firstLineChars="200"/>
        <w:rPr>
          <w:rFonts w:ascii="仿宋" w:hAnsi="仿宋" w:eastAsia="仿宋" w:cs="仿宋"/>
          <w:sz w:val="24"/>
          <w:szCs w:val="24"/>
        </w:rPr>
      </w:pPr>
      <w:r>
        <w:rPr>
          <w:rFonts w:hint="eastAsia" w:ascii="仿宋" w:hAnsi="仿宋" w:eastAsia="仿宋" w:cs="仿宋"/>
          <w:color w:val="000000" w:themeColor="text1"/>
          <w:sz w:val="24"/>
          <w:szCs w:val="24"/>
        </w:rPr>
        <w:t>累计开展培训大型集中培训10</w:t>
      </w:r>
      <w:r>
        <w:rPr>
          <w:rFonts w:hint="eastAsia" w:ascii="仿宋" w:hAnsi="仿宋" w:eastAsia="仿宋" w:cs="仿宋"/>
          <w:color w:val="000000" w:themeColor="text1"/>
          <w:sz w:val="24"/>
          <w:szCs w:val="24"/>
          <w:lang w:val="en-US" w:eastAsia="zh-CN"/>
        </w:rPr>
        <w:t>6</w:t>
      </w:r>
      <w:r>
        <w:rPr>
          <w:rFonts w:hint="eastAsia" w:ascii="仿宋" w:hAnsi="仿宋" w:eastAsia="仿宋" w:cs="仿宋"/>
          <w:color w:val="000000" w:themeColor="text1"/>
          <w:sz w:val="24"/>
          <w:szCs w:val="24"/>
        </w:rPr>
        <w:t>次，参加人员</w:t>
      </w:r>
      <w:r>
        <w:rPr>
          <w:rFonts w:hint="eastAsia" w:ascii="仿宋" w:hAnsi="仿宋" w:eastAsia="仿宋" w:cs="仿宋"/>
          <w:color w:val="000000" w:themeColor="text1"/>
          <w:sz w:val="24"/>
          <w:szCs w:val="24"/>
          <w:lang w:val="en-US" w:eastAsia="zh-CN"/>
        </w:rPr>
        <w:t>7856</w:t>
      </w:r>
      <w:r>
        <w:rPr>
          <w:rFonts w:hint="eastAsia" w:ascii="仿宋" w:hAnsi="仿宋" w:eastAsia="仿宋" w:cs="仿宋"/>
          <w:color w:val="000000" w:themeColor="text1"/>
          <w:sz w:val="24"/>
          <w:szCs w:val="24"/>
        </w:rPr>
        <w:t>人次。其中：海胶集团总部举办1</w:t>
      </w:r>
      <w:r>
        <w:rPr>
          <w:rFonts w:hint="eastAsia" w:ascii="仿宋" w:hAnsi="仿宋" w:eastAsia="仿宋" w:cs="仿宋"/>
          <w:color w:val="000000" w:themeColor="text1"/>
          <w:sz w:val="24"/>
          <w:szCs w:val="24"/>
          <w:lang w:val="en-US" w:eastAsia="zh-CN"/>
        </w:rPr>
        <w:t>3</w:t>
      </w:r>
      <w:r>
        <w:rPr>
          <w:rFonts w:hint="eastAsia" w:ascii="仿宋" w:hAnsi="仿宋" w:eastAsia="仿宋" w:cs="仿宋"/>
          <w:color w:val="000000" w:themeColor="text1"/>
          <w:sz w:val="24"/>
          <w:szCs w:val="24"/>
        </w:rPr>
        <w:t>期集中培训，参加人员共计</w:t>
      </w:r>
      <w:r>
        <w:rPr>
          <w:rFonts w:hint="eastAsia" w:ascii="仿宋" w:hAnsi="仿宋" w:eastAsia="仿宋" w:cs="仿宋"/>
          <w:color w:val="000000" w:themeColor="text1"/>
          <w:sz w:val="24"/>
          <w:szCs w:val="24"/>
          <w:lang w:val="en-US" w:eastAsia="zh-CN"/>
        </w:rPr>
        <w:t>1189</w:t>
      </w:r>
      <w:r>
        <w:rPr>
          <w:rFonts w:hint="eastAsia" w:ascii="仿宋" w:hAnsi="仿宋" w:eastAsia="仿宋" w:cs="仿宋"/>
          <w:color w:val="000000" w:themeColor="text1"/>
          <w:sz w:val="24"/>
          <w:szCs w:val="24"/>
        </w:rPr>
        <w:t>人次；各基地分公司每家各举办93次，参加人数6667人次。举办的培训包括：FSC</w:t>
      </w:r>
      <w:r>
        <w:rPr>
          <w:rFonts w:hint="eastAsia" w:ascii="仿宋" w:hAnsi="仿宋" w:eastAsia="仿宋" w:cs="仿宋"/>
          <w:color w:val="000000" w:themeColor="text1"/>
          <w:sz w:val="24"/>
          <w:szCs w:val="24"/>
          <w:vertAlign w:val="superscript"/>
        </w:rPr>
        <w:t>®</w:t>
      </w:r>
      <w:r>
        <w:rPr>
          <w:rFonts w:hint="eastAsia" w:ascii="仿宋" w:hAnsi="仿宋" w:eastAsia="仿宋" w:cs="仿宋"/>
          <w:color w:val="000000" w:themeColor="text1"/>
          <w:sz w:val="24"/>
          <w:szCs w:val="24"/>
        </w:rPr>
        <w:t>知识、森林经营管理手册、森林经营方案讨论、法律法规和国际公约、安全生产、森林防火、“三防工作”、安全生产应急演练、紧急救护、采伐前安全检查、采伐、割胶技术、智能割胶、抚育管理、农药使用等方面的培训。</w:t>
      </w:r>
      <w:r>
        <w:rPr>
          <w:rFonts w:hint="eastAsia" w:ascii="仿宋" w:hAnsi="仿宋" w:eastAsia="仿宋" w:cs="仿宋"/>
          <w:sz w:val="24"/>
          <w:szCs w:val="24"/>
        </w:rPr>
        <w:t>作业前，各生产队均对作业工人进行了营林技术、健康安全、野生动植物保护等方面的培训，各分公司为所有工人购买了人身意外伤害保险。全年没有出现性别歧视、同工不同酬、聘用童工、强迫劳动或拖欠工资的行为。</w:t>
      </w:r>
      <w:r>
        <w:rPr>
          <w:rFonts w:hint="eastAsia" w:ascii="仿宋" w:hAnsi="仿宋" w:eastAsia="仿宋" w:cs="仿宋"/>
          <w:color w:val="000000" w:themeColor="text1"/>
          <w:sz w:val="24"/>
          <w:szCs w:val="24"/>
        </w:rPr>
        <w:t>改善了25套基层职工住房。</w:t>
      </w:r>
    </w:p>
    <w:p>
      <w:pPr>
        <w:pStyle w:val="5"/>
        <w:spacing w:line="360" w:lineRule="auto"/>
        <w:ind w:firstLine="480"/>
        <w:rPr>
          <w:rFonts w:ascii="仿宋" w:hAnsi="仿宋" w:eastAsia="仿宋" w:cs="仿宋"/>
          <w:sz w:val="24"/>
          <w:szCs w:val="24"/>
        </w:rPr>
      </w:pPr>
      <w:r>
        <w:rPr>
          <w:rFonts w:hint="eastAsia" w:ascii="仿宋" w:hAnsi="仿宋" w:eastAsia="仿宋" w:cs="仿宋"/>
          <w:sz w:val="24"/>
          <w:szCs w:val="24"/>
        </w:rPr>
        <w:t>（3）健康安全</w:t>
      </w:r>
    </w:p>
    <w:p>
      <w:pPr>
        <w:spacing w:line="360" w:lineRule="auto"/>
        <w:ind w:firstLine="480" w:firstLineChars="200"/>
      </w:pPr>
      <w:r>
        <w:rPr>
          <w:rFonts w:hint="eastAsia" w:ascii="仿宋" w:hAnsi="仿宋" w:eastAsia="仿宋" w:cs="仿宋"/>
          <w:sz w:val="24"/>
          <w:szCs w:val="24"/>
        </w:rPr>
        <w:t>各分公司为林地生产、采伐工人提供了如安全帽（配有耳塞）、防割手套、防割裤、反光服装、安全鞋（靴）等，均购买了意外伤害险，并配备了应急药品等。没有</w:t>
      </w:r>
      <w:r>
        <w:rPr>
          <w:rFonts w:hint="eastAsia" w:ascii="仿宋" w:hAnsi="仿宋" w:eastAsia="仿宋" w:cs="仿宋"/>
          <w:color w:val="000000" w:themeColor="text1"/>
          <w:sz w:val="24"/>
          <w:szCs w:val="24"/>
        </w:rPr>
        <w:t>出现人员伤亡等情况。</w:t>
      </w:r>
      <w:r>
        <w:rPr>
          <w:rFonts w:hint="eastAsia" w:ascii="仿宋" w:hAnsi="仿宋" w:eastAsia="仿宋" w:cs="仿宋"/>
          <w:sz w:val="24"/>
          <w:szCs w:val="24"/>
        </w:rPr>
        <w:t>要求喷施农药工人穿戴相应的口罩、穿工作服等保护装备，工人健康安全得到有效保障，没有</w:t>
      </w:r>
      <w:r>
        <w:rPr>
          <w:rFonts w:hint="eastAsia" w:ascii="仿宋" w:hAnsi="仿宋" w:eastAsia="仿宋" w:cs="仿宋"/>
          <w:color w:val="000000" w:themeColor="text1"/>
          <w:sz w:val="24"/>
          <w:szCs w:val="24"/>
        </w:rPr>
        <w:t>无出现工人中毒等情况。在营林作业中，未出现重伤或死亡事故。</w:t>
      </w:r>
    </w:p>
    <w:tbl>
      <w:tblPr>
        <w:tblStyle w:val="1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32"/>
        <w:gridCol w:w="2132"/>
        <w:gridCol w:w="2132"/>
        <w:gridCol w:w="21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4"/>
          </w:tcPr>
          <w:p>
            <w:pPr>
              <w:adjustRightInd w:val="0"/>
              <w:snapToGrid w:val="0"/>
              <w:jc w:val="center"/>
              <w:rPr>
                <w:rFonts w:ascii="仿宋" w:hAnsi="仿宋" w:eastAsia="仿宋" w:cs="仿宋"/>
                <w:szCs w:val="21"/>
              </w:rPr>
            </w:pPr>
            <w:r>
              <w:rPr>
                <w:rFonts w:hint="eastAsia" w:ascii="仿宋" w:hAnsi="仿宋" w:eastAsia="仿宋" w:cs="仿宋"/>
                <w:color w:val="000000"/>
                <w:kern w:val="0"/>
                <w:szCs w:val="21"/>
              </w:rPr>
              <w:t>劳保物品采购清单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0" w:type="pct"/>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rPr>
                <w:rFonts w:ascii="仿宋" w:hAnsi="仿宋" w:eastAsia="仿宋" w:cs="仿宋"/>
                <w:szCs w:val="21"/>
              </w:rPr>
            </w:pPr>
            <w:r>
              <w:rPr>
                <w:rFonts w:hint="eastAsia" w:ascii="仿宋" w:hAnsi="仿宋" w:eastAsia="仿宋" w:cs="仿宋"/>
                <w:color w:val="000000"/>
                <w:kern w:val="0"/>
                <w:szCs w:val="21"/>
              </w:rPr>
              <w:t>序号</w:t>
            </w:r>
          </w:p>
        </w:tc>
        <w:tc>
          <w:tcPr>
            <w:tcW w:w="1250" w:type="pct"/>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rPr>
                <w:rFonts w:ascii="仿宋" w:hAnsi="仿宋" w:eastAsia="仿宋" w:cs="仿宋"/>
                <w:szCs w:val="21"/>
              </w:rPr>
            </w:pPr>
            <w:r>
              <w:rPr>
                <w:rFonts w:hint="eastAsia" w:ascii="仿宋" w:hAnsi="仿宋" w:eastAsia="仿宋" w:cs="仿宋"/>
                <w:color w:val="000000"/>
                <w:kern w:val="0"/>
                <w:szCs w:val="21"/>
              </w:rPr>
              <w:t>名称</w:t>
            </w:r>
          </w:p>
        </w:tc>
        <w:tc>
          <w:tcPr>
            <w:tcW w:w="1250" w:type="pct"/>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rPr>
                <w:rFonts w:ascii="仿宋" w:hAnsi="仿宋" w:eastAsia="仿宋" w:cs="仿宋"/>
                <w:szCs w:val="21"/>
              </w:rPr>
            </w:pPr>
            <w:r>
              <w:rPr>
                <w:rFonts w:hint="eastAsia" w:ascii="仿宋" w:hAnsi="仿宋" w:eastAsia="仿宋" w:cs="仿宋"/>
                <w:color w:val="000000"/>
                <w:kern w:val="0"/>
                <w:szCs w:val="21"/>
              </w:rPr>
              <w:t>单位</w:t>
            </w:r>
          </w:p>
        </w:tc>
        <w:tc>
          <w:tcPr>
            <w:tcW w:w="1250" w:type="pct"/>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rPr>
                <w:rFonts w:ascii="仿宋" w:hAnsi="仿宋" w:eastAsia="仿宋" w:cs="仿宋"/>
                <w:szCs w:val="21"/>
              </w:rPr>
            </w:pPr>
            <w:r>
              <w:rPr>
                <w:rFonts w:hint="eastAsia" w:ascii="仿宋" w:hAnsi="仿宋" w:eastAsia="仿宋" w:cs="仿宋"/>
                <w:color w:val="000000"/>
                <w:kern w:val="0"/>
                <w:szCs w:val="21"/>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0" w:type="pct"/>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rPr>
                <w:rFonts w:ascii="仿宋" w:hAnsi="仿宋" w:eastAsia="仿宋" w:cs="仿宋"/>
                <w:szCs w:val="21"/>
              </w:rPr>
            </w:pPr>
            <w:r>
              <w:rPr>
                <w:rFonts w:hint="eastAsia" w:ascii="仿宋" w:hAnsi="仿宋" w:eastAsia="仿宋" w:cs="仿宋"/>
                <w:color w:val="000000"/>
                <w:kern w:val="0"/>
                <w:szCs w:val="21"/>
              </w:rPr>
              <w:t>1</w:t>
            </w:r>
          </w:p>
        </w:tc>
        <w:tc>
          <w:tcPr>
            <w:tcW w:w="1250" w:type="pct"/>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rPr>
                <w:rFonts w:ascii="仿宋" w:hAnsi="仿宋" w:eastAsia="仿宋" w:cs="仿宋"/>
                <w:szCs w:val="21"/>
              </w:rPr>
            </w:pPr>
            <w:r>
              <w:rPr>
                <w:rFonts w:hint="eastAsia" w:ascii="仿宋" w:hAnsi="仿宋" w:eastAsia="仿宋" w:cs="仿宋"/>
                <w:color w:val="000000"/>
                <w:kern w:val="0"/>
                <w:szCs w:val="21"/>
              </w:rPr>
              <w:t>安全帽</w:t>
            </w:r>
          </w:p>
        </w:tc>
        <w:tc>
          <w:tcPr>
            <w:tcW w:w="1250" w:type="pct"/>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rPr>
                <w:rFonts w:ascii="仿宋" w:hAnsi="仿宋" w:eastAsia="仿宋" w:cs="仿宋"/>
                <w:szCs w:val="21"/>
              </w:rPr>
            </w:pPr>
            <w:r>
              <w:rPr>
                <w:rFonts w:hint="eastAsia" w:ascii="仿宋" w:hAnsi="仿宋" w:eastAsia="仿宋" w:cs="仿宋"/>
                <w:color w:val="000000"/>
                <w:kern w:val="0"/>
                <w:szCs w:val="21"/>
              </w:rPr>
              <w:t>个</w:t>
            </w:r>
          </w:p>
        </w:tc>
        <w:tc>
          <w:tcPr>
            <w:tcW w:w="1250" w:type="pct"/>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rPr>
                <w:rFonts w:ascii="仿宋" w:hAnsi="仿宋" w:eastAsia="仿宋" w:cs="仿宋"/>
                <w:szCs w:val="21"/>
              </w:rPr>
            </w:pPr>
            <w:r>
              <w:rPr>
                <w:rFonts w:hint="eastAsia" w:ascii="仿宋" w:hAnsi="仿宋" w:eastAsia="仿宋" w:cs="仿宋"/>
                <w:szCs w:val="21"/>
              </w:rPr>
              <w:t>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0" w:type="pct"/>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rPr>
                <w:rFonts w:ascii="仿宋" w:hAnsi="仿宋" w:eastAsia="仿宋" w:cs="仿宋"/>
                <w:szCs w:val="21"/>
              </w:rPr>
            </w:pPr>
            <w:r>
              <w:rPr>
                <w:rFonts w:hint="eastAsia" w:ascii="仿宋" w:hAnsi="仿宋" w:eastAsia="仿宋" w:cs="仿宋"/>
                <w:color w:val="000000"/>
                <w:kern w:val="0"/>
                <w:szCs w:val="21"/>
              </w:rPr>
              <w:t>2</w:t>
            </w:r>
          </w:p>
        </w:tc>
        <w:tc>
          <w:tcPr>
            <w:tcW w:w="1250" w:type="pct"/>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rPr>
                <w:rFonts w:ascii="仿宋" w:hAnsi="仿宋" w:eastAsia="仿宋" w:cs="仿宋"/>
                <w:szCs w:val="21"/>
              </w:rPr>
            </w:pPr>
            <w:r>
              <w:rPr>
                <w:rFonts w:hint="eastAsia" w:ascii="仿宋" w:hAnsi="仿宋" w:eastAsia="仿宋" w:cs="仿宋"/>
                <w:color w:val="000000"/>
                <w:kern w:val="0"/>
                <w:szCs w:val="21"/>
              </w:rPr>
              <w:t>劳保服</w:t>
            </w:r>
          </w:p>
        </w:tc>
        <w:tc>
          <w:tcPr>
            <w:tcW w:w="1250" w:type="pct"/>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rPr>
                <w:rFonts w:ascii="仿宋" w:hAnsi="仿宋" w:eastAsia="仿宋" w:cs="仿宋"/>
                <w:szCs w:val="21"/>
              </w:rPr>
            </w:pPr>
            <w:r>
              <w:rPr>
                <w:rFonts w:hint="eastAsia" w:ascii="仿宋" w:hAnsi="仿宋" w:eastAsia="仿宋" w:cs="仿宋"/>
                <w:color w:val="000000"/>
                <w:kern w:val="0"/>
                <w:szCs w:val="21"/>
              </w:rPr>
              <w:t>套</w:t>
            </w:r>
          </w:p>
        </w:tc>
        <w:tc>
          <w:tcPr>
            <w:tcW w:w="1250" w:type="pct"/>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rPr>
                <w:rFonts w:ascii="仿宋" w:hAnsi="仿宋" w:eastAsia="仿宋" w:cs="仿宋"/>
                <w:szCs w:val="21"/>
              </w:rPr>
            </w:pPr>
            <w:r>
              <w:rPr>
                <w:rFonts w:hint="eastAsia" w:ascii="仿宋" w:hAnsi="仿宋" w:eastAsia="仿宋" w:cs="仿宋"/>
                <w:color w:val="000000"/>
                <w:szCs w:val="21"/>
              </w:rPr>
              <w:t>340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0" w:type="pct"/>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rPr>
                <w:rFonts w:ascii="仿宋" w:hAnsi="仿宋" w:eastAsia="仿宋" w:cs="仿宋"/>
                <w:szCs w:val="21"/>
              </w:rPr>
            </w:pPr>
            <w:r>
              <w:rPr>
                <w:rFonts w:hint="eastAsia" w:ascii="仿宋" w:hAnsi="仿宋" w:eastAsia="仿宋" w:cs="仿宋"/>
                <w:color w:val="000000"/>
                <w:kern w:val="0"/>
                <w:szCs w:val="21"/>
              </w:rPr>
              <w:t>3</w:t>
            </w:r>
          </w:p>
        </w:tc>
        <w:tc>
          <w:tcPr>
            <w:tcW w:w="1250" w:type="pct"/>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rPr>
                <w:rFonts w:ascii="仿宋" w:hAnsi="仿宋" w:eastAsia="仿宋" w:cs="仿宋"/>
                <w:szCs w:val="21"/>
              </w:rPr>
            </w:pPr>
            <w:r>
              <w:rPr>
                <w:rFonts w:hint="eastAsia" w:ascii="仿宋" w:hAnsi="仿宋" w:eastAsia="仿宋" w:cs="仿宋"/>
                <w:color w:val="000000"/>
                <w:kern w:val="0"/>
                <w:szCs w:val="21"/>
              </w:rPr>
              <w:t>防护手套</w:t>
            </w:r>
          </w:p>
        </w:tc>
        <w:tc>
          <w:tcPr>
            <w:tcW w:w="1250" w:type="pct"/>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rPr>
                <w:rFonts w:ascii="仿宋" w:hAnsi="仿宋" w:eastAsia="仿宋" w:cs="仿宋"/>
                <w:szCs w:val="21"/>
              </w:rPr>
            </w:pPr>
            <w:r>
              <w:rPr>
                <w:rFonts w:hint="eastAsia" w:ascii="仿宋" w:hAnsi="仿宋" w:eastAsia="仿宋" w:cs="仿宋"/>
                <w:color w:val="000000"/>
                <w:kern w:val="0"/>
                <w:szCs w:val="21"/>
              </w:rPr>
              <w:t>套</w:t>
            </w:r>
          </w:p>
        </w:tc>
        <w:tc>
          <w:tcPr>
            <w:tcW w:w="1250" w:type="pct"/>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rPr>
                <w:rFonts w:ascii="仿宋" w:hAnsi="仿宋" w:eastAsia="仿宋" w:cs="仿宋"/>
                <w:szCs w:val="21"/>
              </w:rPr>
            </w:pPr>
            <w:r>
              <w:rPr>
                <w:rFonts w:hint="eastAsia" w:ascii="仿宋" w:hAnsi="仿宋" w:eastAsia="仿宋" w:cs="仿宋"/>
                <w:szCs w:val="21"/>
              </w:rPr>
              <w:t>660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0" w:type="pct"/>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rPr>
                <w:rFonts w:ascii="仿宋" w:hAnsi="仿宋" w:eastAsia="仿宋" w:cs="仿宋"/>
                <w:szCs w:val="21"/>
              </w:rPr>
            </w:pPr>
            <w:r>
              <w:rPr>
                <w:rFonts w:hint="eastAsia" w:ascii="仿宋" w:hAnsi="仿宋" w:eastAsia="仿宋" w:cs="仿宋"/>
                <w:color w:val="000000"/>
                <w:kern w:val="0"/>
                <w:szCs w:val="21"/>
              </w:rPr>
              <w:t>4</w:t>
            </w:r>
          </w:p>
        </w:tc>
        <w:tc>
          <w:tcPr>
            <w:tcW w:w="1250" w:type="pct"/>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rPr>
                <w:rFonts w:ascii="仿宋" w:hAnsi="仿宋" w:eastAsia="仿宋" w:cs="仿宋"/>
                <w:szCs w:val="21"/>
              </w:rPr>
            </w:pPr>
            <w:r>
              <w:rPr>
                <w:rFonts w:hint="eastAsia" w:ascii="仿宋" w:hAnsi="仿宋" w:eastAsia="仿宋" w:cs="仿宋"/>
                <w:color w:val="000000"/>
                <w:kern w:val="0"/>
                <w:szCs w:val="21"/>
              </w:rPr>
              <w:t>防滑鞋</w:t>
            </w:r>
          </w:p>
        </w:tc>
        <w:tc>
          <w:tcPr>
            <w:tcW w:w="1250" w:type="pct"/>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rPr>
                <w:rFonts w:ascii="仿宋" w:hAnsi="仿宋" w:eastAsia="仿宋" w:cs="仿宋"/>
                <w:szCs w:val="21"/>
              </w:rPr>
            </w:pPr>
            <w:r>
              <w:rPr>
                <w:rFonts w:hint="eastAsia" w:ascii="仿宋" w:hAnsi="仿宋" w:eastAsia="仿宋" w:cs="仿宋"/>
                <w:color w:val="000000"/>
                <w:kern w:val="0"/>
                <w:szCs w:val="21"/>
              </w:rPr>
              <w:t>双</w:t>
            </w:r>
          </w:p>
        </w:tc>
        <w:tc>
          <w:tcPr>
            <w:tcW w:w="1250" w:type="pct"/>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rPr>
                <w:rFonts w:ascii="仿宋" w:hAnsi="仿宋" w:eastAsia="仿宋" w:cs="仿宋"/>
                <w:szCs w:val="21"/>
              </w:rPr>
            </w:pPr>
            <w:r>
              <w:rPr>
                <w:rFonts w:hint="eastAsia" w:ascii="仿宋" w:hAnsi="仿宋" w:eastAsia="仿宋" w:cs="仿宋"/>
                <w:color w:val="000000"/>
                <w:kern w:val="0"/>
                <w:szCs w:val="21"/>
              </w:rPr>
              <w:t>280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0" w:type="pct"/>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rPr>
                <w:rFonts w:ascii="仿宋" w:hAnsi="仿宋" w:eastAsia="仿宋" w:cs="仿宋"/>
                <w:szCs w:val="21"/>
              </w:rPr>
            </w:pPr>
            <w:r>
              <w:rPr>
                <w:rFonts w:hint="eastAsia" w:ascii="仿宋" w:hAnsi="仿宋" w:eastAsia="仿宋" w:cs="仿宋"/>
                <w:color w:val="000000"/>
                <w:kern w:val="0"/>
                <w:szCs w:val="21"/>
              </w:rPr>
              <w:t>5</w:t>
            </w:r>
          </w:p>
        </w:tc>
        <w:tc>
          <w:tcPr>
            <w:tcW w:w="1250" w:type="pct"/>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rPr>
                <w:rFonts w:ascii="仿宋" w:hAnsi="仿宋" w:eastAsia="仿宋" w:cs="仿宋"/>
                <w:szCs w:val="21"/>
              </w:rPr>
            </w:pPr>
            <w:r>
              <w:rPr>
                <w:rFonts w:hint="eastAsia" w:ascii="仿宋" w:hAnsi="仿宋" w:eastAsia="仿宋" w:cs="仿宋"/>
                <w:color w:val="000000"/>
                <w:kern w:val="0"/>
                <w:szCs w:val="21"/>
              </w:rPr>
              <w:t>水鞋</w:t>
            </w:r>
          </w:p>
        </w:tc>
        <w:tc>
          <w:tcPr>
            <w:tcW w:w="1250" w:type="pct"/>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rPr>
                <w:rFonts w:ascii="仿宋" w:hAnsi="仿宋" w:eastAsia="仿宋" w:cs="仿宋"/>
                <w:szCs w:val="21"/>
              </w:rPr>
            </w:pPr>
            <w:r>
              <w:rPr>
                <w:rFonts w:hint="eastAsia" w:ascii="仿宋" w:hAnsi="仿宋" w:eastAsia="仿宋" w:cs="仿宋"/>
                <w:color w:val="000000"/>
                <w:kern w:val="0"/>
                <w:szCs w:val="21"/>
              </w:rPr>
              <w:t>双</w:t>
            </w:r>
          </w:p>
        </w:tc>
        <w:tc>
          <w:tcPr>
            <w:tcW w:w="1250" w:type="pct"/>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rPr>
                <w:rFonts w:ascii="仿宋" w:hAnsi="仿宋" w:eastAsia="仿宋" w:cs="仿宋"/>
                <w:szCs w:val="21"/>
              </w:rPr>
            </w:pPr>
            <w:r>
              <w:rPr>
                <w:rFonts w:hint="eastAsia" w:ascii="仿宋" w:hAnsi="仿宋" w:eastAsia="仿宋" w:cs="仿宋"/>
                <w:szCs w:val="21"/>
              </w:rPr>
              <w:t>480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0" w:type="pct"/>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rPr>
                <w:rFonts w:ascii="仿宋" w:hAnsi="仿宋" w:eastAsia="仿宋" w:cs="仿宋"/>
                <w:szCs w:val="21"/>
              </w:rPr>
            </w:pPr>
            <w:r>
              <w:rPr>
                <w:rFonts w:hint="eastAsia" w:ascii="仿宋" w:hAnsi="仿宋" w:eastAsia="仿宋" w:cs="仿宋"/>
                <w:color w:val="000000"/>
                <w:kern w:val="0"/>
                <w:szCs w:val="21"/>
              </w:rPr>
              <w:t>6</w:t>
            </w:r>
          </w:p>
        </w:tc>
        <w:tc>
          <w:tcPr>
            <w:tcW w:w="1250" w:type="pct"/>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rPr>
                <w:rFonts w:ascii="仿宋" w:hAnsi="仿宋" w:eastAsia="仿宋" w:cs="仿宋"/>
                <w:szCs w:val="21"/>
              </w:rPr>
            </w:pPr>
            <w:r>
              <w:rPr>
                <w:rFonts w:hint="eastAsia" w:ascii="仿宋" w:hAnsi="仿宋" w:eastAsia="仿宋" w:cs="仿宋"/>
                <w:color w:val="000000"/>
                <w:kern w:val="0"/>
                <w:szCs w:val="21"/>
              </w:rPr>
              <w:t>防尘口罩</w:t>
            </w:r>
          </w:p>
        </w:tc>
        <w:tc>
          <w:tcPr>
            <w:tcW w:w="1250" w:type="pct"/>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rPr>
                <w:rFonts w:ascii="仿宋" w:hAnsi="仿宋" w:eastAsia="仿宋" w:cs="仿宋"/>
                <w:szCs w:val="21"/>
              </w:rPr>
            </w:pPr>
            <w:r>
              <w:rPr>
                <w:rFonts w:hint="eastAsia" w:ascii="仿宋" w:hAnsi="仿宋" w:eastAsia="仿宋" w:cs="仿宋"/>
                <w:color w:val="000000"/>
                <w:kern w:val="0"/>
                <w:szCs w:val="21"/>
              </w:rPr>
              <w:t>个</w:t>
            </w:r>
          </w:p>
        </w:tc>
        <w:tc>
          <w:tcPr>
            <w:tcW w:w="1250" w:type="pct"/>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rPr>
                <w:rFonts w:ascii="仿宋" w:hAnsi="仿宋" w:eastAsia="仿宋" w:cs="仿宋"/>
                <w:szCs w:val="21"/>
              </w:rPr>
            </w:pPr>
            <w:r>
              <w:rPr>
                <w:rFonts w:hint="eastAsia" w:ascii="仿宋" w:hAnsi="仿宋" w:eastAsia="仿宋" w:cs="仿宋"/>
                <w:szCs w:val="21"/>
              </w:rPr>
              <w:t>2000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50" w:type="pct"/>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rPr>
                <w:rFonts w:ascii="仿宋" w:hAnsi="仿宋" w:eastAsia="仿宋" w:cs="仿宋"/>
                <w:szCs w:val="21"/>
              </w:rPr>
            </w:pPr>
            <w:r>
              <w:rPr>
                <w:rFonts w:hint="eastAsia" w:ascii="仿宋" w:hAnsi="仿宋" w:eastAsia="仿宋" w:cs="仿宋"/>
                <w:color w:val="000000"/>
                <w:kern w:val="0"/>
                <w:szCs w:val="21"/>
              </w:rPr>
              <w:t>7</w:t>
            </w:r>
          </w:p>
        </w:tc>
        <w:tc>
          <w:tcPr>
            <w:tcW w:w="1250" w:type="pct"/>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rPr>
                <w:rFonts w:ascii="仿宋" w:hAnsi="仿宋" w:eastAsia="仿宋" w:cs="仿宋"/>
                <w:szCs w:val="21"/>
              </w:rPr>
            </w:pPr>
            <w:r>
              <w:rPr>
                <w:rFonts w:hint="eastAsia" w:ascii="仿宋" w:hAnsi="仿宋" w:eastAsia="仿宋" w:cs="仿宋"/>
                <w:color w:val="000000"/>
                <w:kern w:val="0"/>
                <w:szCs w:val="21"/>
              </w:rPr>
              <w:t>普通口罩</w:t>
            </w:r>
          </w:p>
        </w:tc>
        <w:tc>
          <w:tcPr>
            <w:tcW w:w="1250" w:type="pct"/>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rPr>
                <w:rFonts w:ascii="仿宋" w:hAnsi="仿宋" w:eastAsia="仿宋" w:cs="仿宋"/>
                <w:szCs w:val="21"/>
              </w:rPr>
            </w:pPr>
            <w:r>
              <w:rPr>
                <w:rFonts w:hint="eastAsia" w:ascii="仿宋" w:hAnsi="仿宋" w:eastAsia="仿宋" w:cs="仿宋"/>
                <w:color w:val="000000"/>
                <w:kern w:val="0"/>
                <w:szCs w:val="21"/>
              </w:rPr>
              <w:t>打</w:t>
            </w:r>
          </w:p>
        </w:tc>
        <w:tc>
          <w:tcPr>
            <w:tcW w:w="1250" w:type="pct"/>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rPr>
                <w:rFonts w:ascii="仿宋" w:hAnsi="仿宋" w:eastAsia="仿宋" w:cs="仿宋"/>
                <w:szCs w:val="21"/>
              </w:rPr>
            </w:pPr>
            <w:r>
              <w:rPr>
                <w:rFonts w:hint="eastAsia" w:ascii="仿宋" w:hAnsi="仿宋" w:eastAsia="仿宋" w:cs="仿宋"/>
                <w:szCs w:val="21"/>
              </w:rPr>
              <w:t>3000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0" w:type="pct"/>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rPr>
                <w:rFonts w:ascii="仿宋" w:hAnsi="仿宋" w:eastAsia="仿宋" w:cs="仿宋"/>
                <w:szCs w:val="21"/>
              </w:rPr>
            </w:pPr>
            <w:r>
              <w:rPr>
                <w:rFonts w:hint="eastAsia" w:ascii="仿宋" w:hAnsi="仿宋" w:eastAsia="仿宋" w:cs="仿宋"/>
                <w:color w:val="000000"/>
                <w:kern w:val="0"/>
                <w:szCs w:val="21"/>
              </w:rPr>
              <w:t>8</w:t>
            </w:r>
          </w:p>
        </w:tc>
        <w:tc>
          <w:tcPr>
            <w:tcW w:w="1250" w:type="pct"/>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rPr>
                <w:rFonts w:ascii="仿宋" w:hAnsi="仿宋" w:eastAsia="仿宋" w:cs="仿宋"/>
                <w:szCs w:val="21"/>
              </w:rPr>
            </w:pPr>
            <w:r>
              <w:rPr>
                <w:rFonts w:hint="eastAsia" w:ascii="仿宋" w:hAnsi="仿宋" w:eastAsia="仿宋" w:cs="仿宋"/>
                <w:color w:val="000000"/>
                <w:kern w:val="0"/>
                <w:szCs w:val="21"/>
              </w:rPr>
              <w:t>眼罩</w:t>
            </w:r>
          </w:p>
        </w:tc>
        <w:tc>
          <w:tcPr>
            <w:tcW w:w="1250" w:type="pct"/>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rPr>
                <w:rFonts w:ascii="仿宋" w:hAnsi="仿宋" w:eastAsia="仿宋" w:cs="仿宋"/>
                <w:szCs w:val="21"/>
              </w:rPr>
            </w:pPr>
            <w:r>
              <w:rPr>
                <w:rFonts w:hint="eastAsia" w:ascii="仿宋" w:hAnsi="仿宋" w:eastAsia="仿宋" w:cs="仿宋"/>
                <w:color w:val="000000"/>
                <w:kern w:val="0"/>
                <w:szCs w:val="21"/>
              </w:rPr>
              <w:t>个</w:t>
            </w:r>
          </w:p>
        </w:tc>
        <w:tc>
          <w:tcPr>
            <w:tcW w:w="1250" w:type="pct"/>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rPr>
                <w:rFonts w:ascii="仿宋" w:hAnsi="仿宋" w:eastAsia="仿宋" w:cs="仿宋"/>
                <w:szCs w:val="21"/>
              </w:rPr>
            </w:pPr>
            <w:r>
              <w:rPr>
                <w:rFonts w:hint="eastAsia" w:ascii="仿宋" w:hAnsi="仿宋" w:eastAsia="仿宋" w:cs="仿宋"/>
                <w:szCs w:val="21"/>
              </w:rPr>
              <w:t>340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0" w:type="pct"/>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rPr>
                <w:rFonts w:ascii="仿宋" w:hAnsi="仿宋" w:eastAsia="仿宋" w:cs="仿宋"/>
                <w:szCs w:val="21"/>
              </w:rPr>
            </w:pPr>
            <w:r>
              <w:rPr>
                <w:rFonts w:hint="eastAsia" w:ascii="仿宋" w:hAnsi="仿宋" w:eastAsia="仿宋" w:cs="仿宋"/>
                <w:color w:val="000000"/>
                <w:kern w:val="0"/>
                <w:szCs w:val="21"/>
              </w:rPr>
              <w:t>9</w:t>
            </w:r>
          </w:p>
        </w:tc>
        <w:tc>
          <w:tcPr>
            <w:tcW w:w="1250" w:type="pct"/>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rPr>
                <w:rFonts w:ascii="仿宋" w:hAnsi="仿宋" w:eastAsia="仿宋" w:cs="仿宋"/>
                <w:szCs w:val="21"/>
              </w:rPr>
            </w:pPr>
            <w:r>
              <w:rPr>
                <w:rFonts w:hint="eastAsia" w:ascii="仿宋" w:hAnsi="仿宋" w:eastAsia="仿宋" w:cs="仿宋"/>
                <w:color w:val="000000"/>
                <w:kern w:val="0"/>
                <w:szCs w:val="21"/>
              </w:rPr>
              <w:t>灭火器</w:t>
            </w:r>
          </w:p>
        </w:tc>
        <w:tc>
          <w:tcPr>
            <w:tcW w:w="1250" w:type="pct"/>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rPr>
                <w:rFonts w:ascii="仿宋" w:hAnsi="仿宋" w:eastAsia="仿宋" w:cs="仿宋"/>
                <w:szCs w:val="21"/>
              </w:rPr>
            </w:pPr>
            <w:r>
              <w:rPr>
                <w:rFonts w:hint="eastAsia" w:ascii="仿宋" w:hAnsi="仿宋" w:eastAsia="仿宋" w:cs="仿宋"/>
                <w:color w:val="000000"/>
                <w:kern w:val="0"/>
                <w:szCs w:val="21"/>
              </w:rPr>
              <w:t>个</w:t>
            </w:r>
          </w:p>
        </w:tc>
        <w:tc>
          <w:tcPr>
            <w:tcW w:w="1250" w:type="pct"/>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rPr>
                <w:rFonts w:ascii="仿宋" w:hAnsi="仿宋" w:eastAsia="仿宋" w:cs="仿宋"/>
                <w:szCs w:val="21"/>
              </w:rPr>
            </w:pPr>
            <w:r>
              <w:rPr>
                <w:rFonts w:hint="eastAsia" w:ascii="仿宋" w:hAnsi="仿宋" w:eastAsia="仿宋" w:cs="仿宋"/>
                <w:color w:val="000000"/>
                <w:kern w:val="0"/>
                <w:szCs w:val="21"/>
              </w:rPr>
              <w:t>180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0" w:type="pct"/>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rPr>
                <w:rFonts w:ascii="仿宋" w:hAnsi="仿宋" w:eastAsia="仿宋" w:cs="仿宋"/>
                <w:szCs w:val="21"/>
              </w:rPr>
            </w:pPr>
            <w:r>
              <w:rPr>
                <w:rFonts w:hint="eastAsia" w:ascii="仿宋" w:hAnsi="仿宋" w:eastAsia="仿宋" w:cs="仿宋"/>
                <w:color w:val="000000"/>
                <w:kern w:val="0"/>
                <w:szCs w:val="21"/>
              </w:rPr>
              <w:t>10</w:t>
            </w:r>
          </w:p>
        </w:tc>
        <w:tc>
          <w:tcPr>
            <w:tcW w:w="1250" w:type="pct"/>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rPr>
                <w:rFonts w:ascii="仿宋" w:hAnsi="仿宋" w:eastAsia="仿宋" w:cs="仿宋"/>
                <w:szCs w:val="21"/>
              </w:rPr>
            </w:pPr>
            <w:r>
              <w:rPr>
                <w:rFonts w:hint="eastAsia" w:ascii="仿宋" w:hAnsi="仿宋" w:eastAsia="仿宋" w:cs="仿宋"/>
                <w:color w:val="000000"/>
                <w:kern w:val="0"/>
                <w:szCs w:val="21"/>
              </w:rPr>
              <w:t>消防锹</w:t>
            </w:r>
          </w:p>
        </w:tc>
        <w:tc>
          <w:tcPr>
            <w:tcW w:w="1250" w:type="pct"/>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rPr>
                <w:rFonts w:ascii="仿宋" w:hAnsi="仿宋" w:eastAsia="仿宋" w:cs="仿宋"/>
                <w:szCs w:val="21"/>
              </w:rPr>
            </w:pPr>
            <w:r>
              <w:rPr>
                <w:rFonts w:hint="eastAsia" w:ascii="仿宋" w:hAnsi="仿宋" w:eastAsia="仿宋" w:cs="仿宋"/>
                <w:color w:val="000000"/>
                <w:kern w:val="0"/>
                <w:szCs w:val="21"/>
              </w:rPr>
              <w:t>个</w:t>
            </w:r>
          </w:p>
        </w:tc>
        <w:tc>
          <w:tcPr>
            <w:tcW w:w="1250" w:type="pct"/>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rPr>
                <w:rFonts w:ascii="仿宋" w:hAnsi="仿宋" w:eastAsia="仿宋" w:cs="仿宋"/>
                <w:szCs w:val="21"/>
              </w:rPr>
            </w:pPr>
            <w:r>
              <w:rPr>
                <w:rFonts w:hint="eastAsia" w:ascii="仿宋" w:hAnsi="仿宋" w:eastAsia="仿宋" w:cs="仿宋"/>
                <w:szCs w:val="21"/>
              </w:rPr>
              <w:t>340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0" w:type="pct"/>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rPr>
                <w:rFonts w:ascii="仿宋" w:hAnsi="仿宋" w:eastAsia="仿宋" w:cs="仿宋"/>
                <w:szCs w:val="21"/>
              </w:rPr>
            </w:pPr>
            <w:r>
              <w:rPr>
                <w:rFonts w:hint="eastAsia" w:ascii="仿宋" w:hAnsi="仿宋" w:eastAsia="仿宋" w:cs="仿宋"/>
                <w:color w:val="000000"/>
                <w:kern w:val="0"/>
                <w:szCs w:val="21"/>
              </w:rPr>
              <w:t>11</w:t>
            </w:r>
          </w:p>
        </w:tc>
        <w:tc>
          <w:tcPr>
            <w:tcW w:w="1250" w:type="pct"/>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rPr>
                <w:rFonts w:ascii="仿宋" w:hAnsi="仿宋" w:eastAsia="仿宋" w:cs="仿宋"/>
                <w:szCs w:val="21"/>
              </w:rPr>
            </w:pPr>
            <w:r>
              <w:rPr>
                <w:rFonts w:hint="eastAsia" w:ascii="仿宋" w:hAnsi="仿宋" w:eastAsia="仿宋" w:cs="仿宋"/>
                <w:color w:val="000000"/>
                <w:kern w:val="0"/>
                <w:szCs w:val="21"/>
              </w:rPr>
              <w:t>灭火把</w:t>
            </w:r>
          </w:p>
        </w:tc>
        <w:tc>
          <w:tcPr>
            <w:tcW w:w="1250" w:type="pct"/>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rPr>
                <w:rFonts w:ascii="仿宋" w:hAnsi="仿宋" w:eastAsia="仿宋" w:cs="仿宋"/>
                <w:szCs w:val="21"/>
              </w:rPr>
            </w:pPr>
            <w:r>
              <w:rPr>
                <w:rFonts w:hint="eastAsia" w:ascii="仿宋" w:hAnsi="仿宋" w:eastAsia="仿宋" w:cs="仿宋"/>
                <w:color w:val="000000"/>
                <w:kern w:val="0"/>
                <w:szCs w:val="21"/>
              </w:rPr>
              <w:t>把</w:t>
            </w:r>
          </w:p>
        </w:tc>
        <w:tc>
          <w:tcPr>
            <w:tcW w:w="1250" w:type="pct"/>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rPr>
                <w:rFonts w:ascii="仿宋" w:hAnsi="仿宋" w:eastAsia="仿宋" w:cs="仿宋"/>
                <w:szCs w:val="21"/>
              </w:rPr>
            </w:pPr>
            <w:r>
              <w:rPr>
                <w:rFonts w:hint="eastAsia" w:ascii="仿宋" w:hAnsi="仿宋" w:eastAsia="仿宋" w:cs="仿宋"/>
                <w:szCs w:val="21"/>
              </w:rPr>
              <w:t>340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50" w:type="pct"/>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rPr>
                <w:rFonts w:ascii="仿宋" w:hAnsi="仿宋" w:eastAsia="仿宋" w:cs="仿宋"/>
                <w:szCs w:val="21"/>
              </w:rPr>
            </w:pPr>
            <w:r>
              <w:rPr>
                <w:rFonts w:hint="eastAsia" w:ascii="仿宋" w:hAnsi="仿宋" w:eastAsia="仿宋" w:cs="仿宋"/>
                <w:color w:val="000000"/>
                <w:kern w:val="0"/>
                <w:szCs w:val="21"/>
              </w:rPr>
              <w:t>12</w:t>
            </w:r>
          </w:p>
        </w:tc>
        <w:tc>
          <w:tcPr>
            <w:tcW w:w="1250" w:type="pct"/>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rPr>
                <w:rFonts w:ascii="仿宋" w:hAnsi="仿宋" w:eastAsia="仿宋" w:cs="仿宋"/>
                <w:szCs w:val="21"/>
              </w:rPr>
            </w:pPr>
            <w:r>
              <w:rPr>
                <w:rFonts w:hint="eastAsia" w:ascii="仿宋" w:hAnsi="仿宋" w:eastAsia="仿宋" w:cs="仿宋"/>
                <w:color w:val="000000"/>
                <w:kern w:val="0"/>
                <w:szCs w:val="21"/>
              </w:rPr>
              <w:t>鞋子</w:t>
            </w:r>
          </w:p>
        </w:tc>
        <w:tc>
          <w:tcPr>
            <w:tcW w:w="1250" w:type="pct"/>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rPr>
                <w:rFonts w:ascii="仿宋" w:hAnsi="仿宋" w:eastAsia="仿宋" w:cs="仿宋"/>
                <w:szCs w:val="21"/>
              </w:rPr>
            </w:pPr>
            <w:r>
              <w:rPr>
                <w:rFonts w:hint="eastAsia" w:ascii="仿宋" w:hAnsi="仿宋" w:eastAsia="仿宋" w:cs="仿宋"/>
                <w:color w:val="000000"/>
                <w:kern w:val="0"/>
                <w:szCs w:val="21"/>
              </w:rPr>
              <w:t>双</w:t>
            </w:r>
          </w:p>
        </w:tc>
        <w:tc>
          <w:tcPr>
            <w:tcW w:w="1250" w:type="pct"/>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rPr>
                <w:rFonts w:ascii="仿宋" w:hAnsi="仿宋" w:eastAsia="仿宋" w:cs="仿宋"/>
                <w:szCs w:val="21"/>
              </w:rPr>
            </w:pPr>
            <w:r>
              <w:rPr>
                <w:rFonts w:hint="eastAsia" w:ascii="仿宋" w:hAnsi="仿宋" w:eastAsia="仿宋" w:cs="仿宋"/>
                <w:szCs w:val="21"/>
              </w:rPr>
              <w:t>340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0" w:type="pct"/>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rPr>
                <w:rFonts w:ascii="仿宋" w:hAnsi="仿宋" w:eastAsia="仿宋" w:cs="仿宋"/>
                <w:szCs w:val="21"/>
              </w:rPr>
            </w:pPr>
            <w:r>
              <w:rPr>
                <w:rFonts w:hint="eastAsia" w:ascii="仿宋" w:hAnsi="仿宋" w:eastAsia="仿宋" w:cs="仿宋"/>
                <w:color w:val="000000"/>
                <w:kern w:val="0"/>
                <w:szCs w:val="21"/>
              </w:rPr>
              <w:t>13</w:t>
            </w:r>
          </w:p>
        </w:tc>
        <w:tc>
          <w:tcPr>
            <w:tcW w:w="1250" w:type="pct"/>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rPr>
                <w:rFonts w:ascii="仿宋" w:hAnsi="仿宋" w:eastAsia="仿宋" w:cs="仿宋"/>
                <w:szCs w:val="21"/>
              </w:rPr>
            </w:pPr>
            <w:r>
              <w:rPr>
                <w:rFonts w:hint="eastAsia" w:ascii="仿宋" w:hAnsi="仿宋" w:eastAsia="仿宋" w:cs="仿宋"/>
                <w:color w:val="000000"/>
                <w:kern w:val="0"/>
                <w:szCs w:val="21"/>
              </w:rPr>
              <w:t>应急小药箱</w:t>
            </w:r>
          </w:p>
        </w:tc>
        <w:tc>
          <w:tcPr>
            <w:tcW w:w="1250" w:type="pct"/>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rPr>
                <w:rFonts w:ascii="仿宋" w:hAnsi="仿宋" w:eastAsia="仿宋" w:cs="仿宋"/>
                <w:szCs w:val="21"/>
              </w:rPr>
            </w:pPr>
            <w:r>
              <w:rPr>
                <w:rFonts w:hint="eastAsia" w:ascii="仿宋" w:hAnsi="仿宋" w:eastAsia="仿宋" w:cs="仿宋"/>
                <w:color w:val="000000"/>
                <w:kern w:val="0"/>
                <w:szCs w:val="21"/>
              </w:rPr>
              <w:t>个</w:t>
            </w:r>
          </w:p>
        </w:tc>
        <w:tc>
          <w:tcPr>
            <w:tcW w:w="1250" w:type="pct"/>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rPr>
                <w:rFonts w:ascii="仿宋" w:hAnsi="仿宋" w:eastAsia="仿宋" w:cs="仿宋"/>
                <w:szCs w:val="21"/>
              </w:rPr>
            </w:pPr>
            <w:r>
              <w:rPr>
                <w:rFonts w:hint="eastAsia" w:ascii="仿宋" w:hAnsi="仿宋" w:eastAsia="仿宋" w:cs="仿宋"/>
                <w:szCs w:val="21"/>
              </w:rPr>
              <w:t>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0" w:type="pct"/>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rPr>
                <w:rFonts w:ascii="仿宋" w:hAnsi="仿宋" w:eastAsia="仿宋" w:cs="仿宋"/>
                <w:szCs w:val="21"/>
              </w:rPr>
            </w:pPr>
            <w:r>
              <w:rPr>
                <w:rFonts w:hint="eastAsia" w:ascii="仿宋" w:hAnsi="仿宋" w:eastAsia="仿宋" w:cs="仿宋"/>
                <w:color w:val="000000"/>
                <w:kern w:val="0"/>
                <w:szCs w:val="21"/>
              </w:rPr>
              <w:t>14</w:t>
            </w:r>
          </w:p>
        </w:tc>
        <w:tc>
          <w:tcPr>
            <w:tcW w:w="1250" w:type="pct"/>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rPr>
                <w:rFonts w:ascii="仿宋" w:hAnsi="仿宋" w:eastAsia="仿宋" w:cs="仿宋"/>
                <w:szCs w:val="21"/>
              </w:rPr>
            </w:pPr>
            <w:r>
              <w:rPr>
                <w:rFonts w:hint="eastAsia" w:ascii="仿宋" w:hAnsi="仿宋" w:eastAsia="仿宋" w:cs="仿宋"/>
                <w:color w:val="000000"/>
                <w:kern w:val="0"/>
                <w:szCs w:val="21"/>
              </w:rPr>
              <w:t>应急药具药品</w:t>
            </w:r>
          </w:p>
        </w:tc>
        <w:tc>
          <w:tcPr>
            <w:tcW w:w="1250" w:type="pct"/>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rPr>
                <w:rFonts w:ascii="仿宋" w:hAnsi="仿宋" w:eastAsia="仿宋" w:cs="仿宋"/>
                <w:szCs w:val="21"/>
              </w:rPr>
            </w:pPr>
            <w:r>
              <w:rPr>
                <w:rFonts w:hint="eastAsia" w:ascii="仿宋" w:hAnsi="仿宋" w:eastAsia="仿宋" w:cs="仿宋"/>
                <w:color w:val="000000"/>
                <w:kern w:val="0"/>
                <w:szCs w:val="21"/>
              </w:rPr>
              <w:t>批</w:t>
            </w:r>
          </w:p>
        </w:tc>
        <w:tc>
          <w:tcPr>
            <w:tcW w:w="1250" w:type="pct"/>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rPr>
                <w:rFonts w:ascii="仿宋" w:hAnsi="仿宋" w:eastAsia="仿宋" w:cs="仿宋"/>
                <w:szCs w:val="21"/>
              </w:rPr>
            </w:pPr>
            <w:r>
              <w:rPr>
                <w:rFonts w:hint="eastAsia" w:ascii="仿宋" w:hAnsi="仿宋" w:eastAsia="仿宋" w:cs="仿宋"/>
                <w:color w:val="000000"/>
                <w:kern w:val="0"/>
                <w:szCs w:val="21"/>
              </w:rPr>
              <w:t>14</w:t>
            </w:r>
          </w:p>
        </w:tc>
      </w:tr>
    </w:tbl>
    <w:p>
      <w:pPr>
        <w:adjustRightInd w:val="0"/>
        <w:snapToGrid w:val="0"/>
      </w:pPr>
    </w:p>
    <w:p>
      <w:pPr>
        <w:pStyle w:val="5"/>
        <w:spacing w:line="360" w:lineRule="auto"/>
        <w:ind w:firstLine="480"/>
        <w:rPr>
          <w:rFonts w:ascii="仿宋" w:hAnsi="仿宋" w:eastAsia="仿宋" w:cs="仿宋"/>
          <w:sz w:val="24"/>
          <w:szCs w:val="24"/>
        </w:rPr>
      </w:pPr>
      <w:r>
        <w:rPr>
          <w:rFonts w:hint="eastAsia" w:ascii="仿宋" w:hAnsi="仿宋" w:eastAsia="仿宋" w:cs="仿宋"/>
          <w:sz w:val="24"/>
          <w:szCs w:val="24"/>
        </w:rPr>
        <w:t>（4）社区服务</w:t>
      </w:r>
    </w:p>
    <w:p>
      <w:pPr>
        <w:pStyle w:val="5"/>
        <w:spacing w:line="360" w:lineRule="auto"/>
        <w:ind w:firstLine="480"/>
        <w:rPr>
          <w:rFonts w:ascii="仿宋" w:hAnsi="仿宋" w:eastAsia="仿宋" w:cs="仿宋"/>
          <w:color w:val="000000" w:themeColor="text1"/>
          <w:sz w:val="24"/>
          <w:szCs w:val="24"/>
        </w:rPr>
      </w:pPr>
      <w:r>
        <w:rPr>
          <w:rFonts w:hint="eastAsia" w:ascii="仿宋" w:hAnsi="仿宋" w:eastAsia="仿宋" w:cs="仿宋"/>
          <w:color w:val="000000" w:themeColor="text1"/>
          <w:sz w:val="24"/>
          <w:szCs w:val="24"/>
        </w:rPr>
        <w:t>2025年-2026年3月，各基地分公司为融合场乡关系，西联、广坝、乌石等3家分公司举办场乡共建联谊活动投入资金6.86万元；西联、八一、白沙、龙江、加钗、长征、等3家分公司投入喷药机械121台、资金68.8万元帮助周边地方农村95户农户防治橡胶病虫害；投入助学资金12.01万元，帮助贫困学子顺利入学；维修道路62公里投入51.6万元，为公司内外部出行安全提供保障。</w:t>
      </w:r>
    </w:p>
    <w:p>
      <w:pPr>
        <w:pStyle w:val="5"/>
        <w:spacing w:line="360" w:lineRule="auto"/>
        <w:ind w:firstLine="480"/>
        <w:rPr>
          <w:rFonts w:ascii="仿宋" w:hAnsi="仿宋" w:eastAsia="仿宋" w:cs="仿宋"/>
          <w:sz w:val="24"/>
          <w:szCs w:val="24"/>
        </w:rPr>
      </w:pPr>
      <w:r>
        <w:rPr>
          <w:rFonts w:hint="eastAsia" w:ascii="仿宋" w:hAnsi="仿宋" w:eastAsia="仿宋" w:cs="仿宋"/>
          <w:sz w:val="24"/>
          <w:szCs w:val="24"/>
        </w:rPr>
        <w:t>（5）申诉、纠纷、投诉处理</w:t>
      </w:r>
    </w:p>
    <w:p>
      <w:pPr>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2025年1—12月，经营范围内共发生申诉、纠纷11起。公司在处理过程中做好规范，出时问题在自愿、事前知情并同意的原则下及时与相关方进行协商和处理，发生的申诉、纠纷和争议的都已得到了妥善地解决和处理。</w:t>
      </w:r>
    </w:p>
    <w:p>
      <w:pPr>
        <w:pStyle w:val="3"/>
        <w:numPr>
          <w:ilvl w:val="0"/>
          <w:numId w:val="2"/>
        </w:numPr>
        <w:spacing w:line="360" w:lineRule="auto"/>
        <w:ind w:firstLine="562" w:firstLineChars="0"/>
        <w:rPr>
          <w:rFonts w:ascii="仿宋" w:hAnsi="仿宋" w:eastAsia="仿宋" w:cs="仿宋"/>
          <w:b/>
          <w:bCs/>
          <w:szCs w:val="28"/>
        </w:rPr>
      </w:pPr>
      <w:r>
        <w:rPr>
          <w:rFonts w:hint="eastAsia" w:ascii="仿宋" w:hAnsi="仿宋" w:eastAsia="仿宋" w:cs="仿宋"/>
          <w:b/>
          <w:bCs/>
          <w:szCs w:val="28"/>
        </w:rPr>
        <w:t>森林经营活动的环境影响监测</w:t>
      </w:r>
    </w:p>
    <w:p>
      <w:pPr>
        <w:spacing w:line="360" w:lineRule="auto"/>
        <w:ind w:firstLine="480" w:firstLineChars="200"/>
        <w:rPr>
          <w:rFonts w:ascii="仿宋" w:hAnsi="仿宋" w:eastAsia="仿宋" w:cs="仿宋"/>
          <w:i/>
          <w:color w:val="FF0000"/>
          <w:sz w:val="24"/>
          <w:szCs w:val="24"/>
        </w:rPr>
      </w:pPr>
      <w:r>
        <w:rPr>
          <w:rFonts w:hint="eastAsia" w:ascii="仿宋" w:hAnsi="仿宋" w:eastAsia="仿宋" w:cs="仿宋"/>
          <w:sz w:val="24"/>
          <w:szCs w:val="24"/>
        </w:rPr>
        <w:t>按照森林认证标准的要求，西联积极组织</w:t>
      </w:r>
      <w:r>
        <w:rPr>
          <w:rFonts w:hint="eastAsia" w:ascii="仿宋" w:hAnsi="仿宋" w:eastAsia="仿宋" w:cs="仿宋"/>
          <w:color w:val="000000" w:themeColor="text1"/>
          <w:sz w:val="24"/>
          <w:szCs w:val="24"/>
        </w:rPr>
        <w:t>以基地分公司负责人为组长，基地片区负责人牵头协调所在的施工员和护林员</w:t>
      </w:r>
      <w:r>
        <w:rPr>
          <w:rFonts w:hint="eastAsia" w:ascii="仿宋" w:hAnsi="仿宋" w:eastAsia="仿宋" w:cs="仿宋"/>
          <w:color w:val="FF0000"/>
          <w:sz w:val="24"/>
          <w:szCs w:val="24"/>
        </w:rPr>
        <w:t>，</w:t>
      </w:r>
      <w:r>
        <w:rPr>
          <w:rFonts w:hint="eastAsia" w:ascii="仿宋" w:hAnsi="仿宋" w:eastAsia="仿宋" w:cs="仿宋"/>
          <w:sz w:val="24"/>
          <w:szCs w:val="24"/>
        </w:rPr>
        <w:t>实施各自区域的森林经营活动进行了造林、抚育、采伐、林道修建、病虫害防治等开展了环境影响评估工作，并对营林活动可能出现的问题提出整改防治措施，详见环境影响评估报告。未来，分公司将根据监测计划对经营活动的环境影响开展监测。</w:t>
      </w:r>
    </w:p>
    <w:p>
      <w:pPr>
        <w:pStyle w:val="3"/>
        <w:numPr>
          <w:ilvl w:val="0"/>
          <w:numId w:val="2"/>
        </w:numPr>
        <w:spacing w:line="360" w:lineRule="auto"/>
        <w:ind w:firstLine="562" w:firstLineChars="0"/>
        <w:rPr>
          <w:rFonts w:ascii="仿宋" w:hAnsi="仿宋" w:eastAsia="仿宋" w:cs="仿宋"/>
          <w:b/>
          <w:bCs/>
          <w:szCs w:val="28"/>
        </w:rPr>
      </w:pPr>
      <w:r>
        <w:rPr>
          <w:rFonts w:hint="eastAsia" w:ascii="仿宋" w:hAnsi="仿宋" w:eastAsia="仿宋" w:cs="仿宋"/>
          <w:b/>
          <w:bCs/>
          <w:szCs w:val="28"/>
        </w:rPr>
        <w:t>森林经营活动的社会影响监测</w:t>
      </w:r>
    </w:p>
    <w:p>
      <w:pPr>
        <w:spacing w:line="360" w:lineRule="auto"/>
        <w:ind w:firstLine="480" w:firstLineChars="200"/>
        <w:rPr>
          <w:rFonts w:ascii="仿宋" w:hAnsi="仿宋" w:eastAsia="仿宋" w:cs="仿宋"/>
          <w:color w:val="000000" w:themeColor="text1"/>
          <w:kern w:val="0"/>
          <w:sz w:val="24"/>
          <w:szCs w:val="24"/>
        </w:rPr>
      </w:pPr>
      <w:r>
        <w:rPr>
          <w:rFonts w:hint="eastAsia" w:ascii="仿宋" w:hAnsi="仿宋" w:eastAsia="仿宋" w:cs="仿宋"/>
          <w:kern w:val="0"/>
          <w:sz w:val="24"/>
          <w:szCs w:val="24"/>
        </w:rPr>
        <w:t>海胶集团主要评估了以下森林作业或管理方式的社会影响：森林经营活动对当地居民就业、减轻贫困，以及原住民、社区发展的影响；利益相关方对森林经营活动的认可和接受程度，森林经营活动与当地社会环境的相互适应性；森林经营活动中可能存在的冲突和各种潜在</w:t>
      </w:r>
      <w:r>
        <w:rPr>
          <w:rFonts w:hint="eastAsia" w:ascii="仿宋" w:hAnsi="仿宋" w:eastAsia="仿宋" w:cs="仿宋"/>
          <w:color w:val="000000" w:themeColor="text1"/>
          <w:kern w:val="0"/>
          <w:sz w:val="24"/>
          <w:szCs w:val="24"/>
        </w:rPr>
        <w:t>的社会负面影响；以及劳动者社会福利的调查。</w:t>
      </w:r>
    </w:p>
    <w:p>
      <w:pPr>
        <w:widowControl/>
        <w:adjustRightInd w:val="0"/>
        <w:snapToGrid w:val="0"/>
        <w:spacing w:line="360" w:lineRule="auto"/>
        <w:ind w:firstLine="480" w:firstLineChars="200"/>
        <w:jc w:val="left"/>
        <w:rPr>
          <w:rFonts w:ascii="仿宋" w:hAnsi="仿宋" w:eastAsia="仿宋" w:cs="仿宋"/>
          <w:color w:val="000000" w:themeColor="text1"/>
          <w:kern w:val="0"/>
          <w:sz w:val="24"/>
          <w:szCs w:val="24"/>
        </w:rPr>
      </w:pPr>
      <w:r>
        <w:rPr>
          <w:rFonts w:hint="eastAsia" w:ascii="仿宋" w:hAnsi="仿宋" w:eastAsia="仿宋" w:cs="仿宋"/>
          <w:color w:val="000000" w:themeColor="text1"/>
          <w:kern w:val="0"/>
          <w:sz w:val="24"/>
          <w:szCs w:val="24"/>
        </w:rPr>
        <w:t>各基地分公司社评小组对利益方访谈人数</w:t>
      </w:r>
      <w:r>
        <w:rPr>
          <w:rFonts w:hint="eastAsia" w:ascii="仿宋" w:hAnsi="仿宋" w:eastAsia="仿宋" w:cs="仿宋"/>
          <w:color w:val="000000" w:themeColor="text1"/>
          <w:kern w:val="0"/>
          <w:sz w:val="24"/>
          <w:szCs w:val="24"/>
          <w:lang w:val="en-US" w:eastAsia="zh-CN"/>
        </w:rPr>
        <w:t>380</w:t>
      </w:r>
      <w:r>
        <w:rPr>
          <w:rFonts w:hint="eastAsia" w:ascii="仿宋" w:hAnsi="仿宋" w:eastAsia="仿宋" w:cs="仿宋"/>
          <w:color w:val="000000" w:themeColor="text1"/>
          <w:kern w:val="0"/>
          <w:sz w:val="24"/>
          <w:szCs w:val="24"/>
        </w:rPr>
        <w:t>人，其中周边村民</w:t>
      </w:r>
      <w:r>
        <w:rPr>
          <w:rFonts w:hint="eastAsia" w:ascii="仿宋" w:hAnsi="仿宋" w:eastAsia="仿宋" w:cs="仿宋"/>
          <w:color w:val="000000" w:themeColor="text1"/>
          <w:kern w:val="0"/>
          <w:sz w:val="24"/>
          <w:szCs w:val="24"/>
          <w:lang w:val="en-US" w:eastAsia="zh-CN"/>
        </w:rPr>
        <w:t>125</w:t>
      </w:r>
      <w:r>
        <w:rPr>
          <w:rFonts w:hint="eastAsia" w:ascii="仿宋" w:hAnsi="仿宋" w:eastAsia="仿宋" w:cs="仿宋"/>
          <w:color w:val="000000" w:themeColor="text1"/>
          <w:kern w:val="0"/>
          <w:sz w:val="24"/>
          <w:szCs w:val="24"/>
        </w:rPr>
        <w:t>人</w:t>
      </w:r>
      <w:r>
        <w:rPr>
          <w:rFonts w:hint="eastAsia" w:ascii="仿宋" w:hAnsi="仿宋" w:eastAsia="仿宋" w:cs="仿宋"/>
          <w:color w:val="000000" w:themeColor="text1"/>
          <w:kern w:val="0"/>
          <w:sz w:val="24"/>
          <w:szCs w:val="24"/>
          <w:lang w:eastAsia="zh-CN"/>
        </w:rPr>
        <w:t>、</w:t>
      </w:r>
      <w:r>
        <w:rPr>
          <w:rFonts w:hint="eastAsia" w:ascii="仿宋" w:hAnsi="仿宋" w:eastAsia="仿宋" w:cs="仿宋"/>
          <w:color w:val="000000" w:themeColor="text1"/>
          <w:sz w:val="24"/>
          <w:szCs w:val="24"/>
        </w:rPr>
        <w:t>雇工44人</w:t>
      </w:r>
      <w:r>
        <w:rPr>
          <w:rFonts w:hint="eastAsia" w:ascii="仿宋" w:hAnsi="仿宋" w:eastAsia="仿宋" w:cs="仿宋"/>
          <w:color w:val="000000" w:themeColor="text1"/>
          <w:kern w:val="0"/>
          <w:sz w:val="24"/>
          <w:szCs w:val="24"/>
          <w:lang w:val="en-US" w:eastAsia="zh-CN"/>
        </w:rPr>
        <w:t>、分</w:t>
      </w:r>
      <w:r>
        <w:rPr>
          <w:rFonts w:hint="eastAsia" w:ascii="仿宋" w:hAnsi="仿宋" w:eastAsia="仿宋" w:cs="仿宋"/>
          <w:color w:val="000000" w:themeColor="text1"/>
          <w:kern w:val="0"/>
          <w:sz w:val="24"/>
          <w:szCs w:val="24"/>
        </w:rPr>
        <w:t>公司员工</w:t>
      </w:r>
      <w:r>
        <w:rPr>
          <w:rFonts w:hint="eastAsia" w:ascii="仿宋" w:hAnsi="仿宋" w:eastAsia="仿宋" w:cs="仿宋"/>
          <w:color w:val="000000" w:themeColor="text1"/>
          <w:kern w:val="0"/>
          <w:sz w:val="24"/>
          <w:szCs w:val="24"/>
          <w:lang w:val="en-US" w:eastAsia="zh-CN"/>
        </w:rPr>
        <w:t>165</w:t>
      </w:r>
      <w:r>
        <w:rPr>
          <w:rFonts w:hint="eastAsia" w:ascii="仿宋" w:hAnsi="仿宋" w:eastAsia="仿宋" w:cs="仿宋"/>
          <w:color w:val="000000" w:themeColor="text1"/>
          <w:kern w:val="0"/>
          <w:sz w:val="24"/>
          <w:szCs w:val="24"/>
        </w:rPr>
        <w:t>人</w:t>
      </w:r>
      <w:r>
        <w:rPr>
          <w:rFonts w:hint="eastAsia" w:ascii="仿宋" w:hAnsi="仿宋" w:eastAsia="仿宋" w:cs="仿宋"/>
          <w:color w:val="000000" w:themeColor="text1"/>
          <w:kern w:val="0"/>
          <w:sz w:val="24"/>
          <w:szCs w:val="24"/>
          <w:lang w:eastAsia="zh-CN"/>
        </w:rPr>
        <w:t>、</w:t>
      </w:r>
      <w:r>
        <w:rPr>
          <w:rFonts w:hint="eastAsia" w:ascii="仿宋" w:hAnsi="仿宋" w:eastAsia="仿宋" w:cs="仿宋"/>
          <w:color w:val="000000" w:themeColor="text1"/>
          <w:sz w:val="24"/>
          <w:szCs w:val="24"/>
        </w:rPr>
        <w:t>政府部门及其他相关组织</w:t>
      </w:r>
      <w:r>
        <w:rPr>
          <w:rFonts w:hint="eastAsia" w:ascii="仿宋" w:hAnsi="仿宋" w:eastAsia="仿宋" w:cs="仿宋"/>
          <w:color w:val="000000" w:themeColor="text1"/>
          <w:kern w:val="0"/>
          <w:sz w:val="24"/>
          <w:szCs w:val="24"/>
          <w:lang w:val="en-US" w:eastAsia="zh-CN"/>
        </w:rPr>
        <w:t>46</w:t>
      </w:r>
      <w:r>
        <w:rPr>
          <w:rFonts w:hint="eastAsia" w:ascii="仿宋" w:hAnsi="仿宋" w:eastAsia="仿宋" w:cs="仿宋"/>
          <w:color w:val="000000" w:themeColor="text1"/>
          <w:kern w:val="0"/>
          <w:sz w:val="24"/>
          <w:szCs w:val="24"/>
        </w:rPr>
        <w:t>人，调查反馈不同意见和建议提出相关的整改及预防措施。相关调查结果详见社会影响和监测评估报告。</w:t>
      </w:r>
    </w:p>
    <w:p>
      <w:pPr>
        <w:pStyle w:val="3"/>
        <w:spacing w:line="360" w:lineRule="auto"/>
        <w:ind w:firstLine="562"/>
        <w:rPr>
          <w:rFonts w:ascii="仿宋" w:hAnsi="仿宋" w:eastAsia="仿宋" w:cs="仿宋"/>
          <w:b/>
          <w:bCs/>
          <w:szCs w:val="28"/>
        </w:rPr>
      </w:pPr>
      <w:r>
        <w:rPr>
          <w:rFonts w:hint="eastAsia" w:ascii="仿宋" w:hAnsi="仿宋" w:eastAsia="仿宋" w:cs="仿宋"/>
          <w:b/>
          <w:bCs/>
          <w:szCs w:val="28"/>
        </w:rPr>
        <w:t>（四）森林环境价值及变化监测</w:t>
      </w:r>
    </w:p>
    <w:p>
      <w:pPr>
        <w:pStyle w:val="4"/>
        <w:spacing w:line="360" w:lineRule="auto"/>
        <w:ind w:firstLine="480"/>
        <w:rPr>
          <w:rFonts w:ascii="仿宋" w:hAnsi="仿宋" w:eastAsia="仿宋" w:cs="仿宋"/>
          <w:sz w:val="24"/>
          <w:szCs w:val="24"/>
        </w:rPr>
      </w:pPr>
      <w:r>
        <w:rPr>
          <w:rFonts w:hint="eastAsia" w:ascii="仿宋" w:hAnsi="仿宋" w:eastAsia="仿宋" w:cs="仿宋"/>
          <w:sz w:val="24"/>
          <w:szCs w:val="24"/>
        </w:rPr>
        <w:t>1. 土壤监测</w:t>
      </w:r>
    </w:p>
    <w:p>
      <w:pPr>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土壤监测通过定期调查土壤有机质含量、理化性质等因子监测土壤肥力。森林认证工作小组在3块固定样地中，选取样地中部，挖掘样沟，选取土样，但土壤理化性质调查需通过专业机构进行，因此需控制成本，在监测指标的选取上尽量简化，选取与土壤肥力相关的监测指标。</w:t>
      </w:r>
    </w:p>
    <w:p>
      <w:pPr>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我司自2021年获得FSC</w:t>
      </w:r>
      <w:r>
        <w:rPr>
          <w:rFonts w:hint="eastAsia" w:ascii="仿宋" w:hAnsi="仿宋" w:eastAsia="仿宋" w:cs="仿宋"/>
          <w:sz w:val="24"/>
          <w:szCs w:val="24"/>
          <w:vertAlign w:val="superscript"/>
        </w:rPr>
        <w:t>®</w:t>
      </w:r>
      <w:r>
        <w:rPr>
          <w:rFonts w:hint="eastAsia" w:ascii="仿宋" w:hAnsi="仿宋" w:eastAsia="仿宋" w:cs="仿宋"/>
          <w:sz w:val="24"/>
          <w:szCs w:val="24"/>
        </w:rPr>
        <w:t>-FM/COC证书以来，2022、2023、2024年连续3年14家分公司FSC</w:t>
      </w:r>
      <w:r>
        <w:rPr>
          <w:rFonts w:hint="eastAsia" w:ascii="仿宋" w:hAnsi="仿宋" w:eastAsia="仿宋" w:cs="仿宋"/>
          <w:sz w:val="24"/>
          <w:szCs w:val="24"/>
          <w:vertAlign w:val="superscript"/>
        </w:rPr>
        <w:t>®</w:t>
      </w:r>
      <w:r>
        <w:rPr>
          <w:rFonts w:hint="eastAsia" w:ascii="仿宋" w:hAnsi="仿宋" w:eastAsia="仿宋" w:cs="仿宋"/>
          <w:sz w:val="24"/>
          <w:szCs w:val="24"/>
        </w:rPr>
        <w:t>工作小组将所取土样送至中国热带农业科学院橡胶研究所进行土壤和水质进行理化分析，监测结果作为评价FSC</w:t>
      </w:r>
      <w:r>
        <w:rPr>
          <w:rFonts w:hint="eastAsia" w:ascii="仿宋" w:hAnsi="仿宋" w:eastAsia="仿宋" w:cs="仿宋"/>
          <w:sz w:val="24"/>
          <w:szCs w:val="24"/>
          <w:vertAlign w:val="superscript"/>
        </w:rPr>
        <w:t>®</w:t>
      </w:r>
      <w:r>
        <w:rPr>
          <w:rFonts w:hint="eastAsia" w:ascii="仿宋" w:hAnsi="仿宋" w:eastAsia="仿宋" w:cs="仿宋"/>
          <w:sz w:val="24"/>
          <w:szCs w:val="24"/>
        </w:rPr>
        <w:t>森林认证环境状况评价的依据之一。根据全国第二次土壤普查养分分级标准，对监测结果进行了分析，最近一次土壤和水质监测时间在2024年3月份，主要监测土壤有机质、全氮、有效P、全P、速K、全K以及土壤机械质地和重金属（土总汞、土总砷、土总镉）含量。经监测，土壤养分含量未见明显下降、土壤未见板结、重金属含量未超标。分析结果见表4。</w:t>
      </w:r>
    </w:p>
    <w:p>
      <w:pPr>
        <w:spacing w:line="300" w:lineRule="auto"/>
        <w:ind w:firstLine="480" w:firstLineChars="200"/>
        <w:jc w:val="center"/>
        <w:rPr>
          <w:rFonts w:eastAsia="黑体"/>
        </w:rPr>
      </w:pPr>
      <w:r>
        <w:rPr>
          <w:rFonts w:hint="eastAsia" w:ascii="黑体" w:hAnsi="黑体" w:eastAsia="黑体" w:cs="Times New Roman"/>
          <w:sz w:val="24"/>
          <w:szCs w:val="28"/>
        </w:rPr>
        <w:t>表4   土壤</w:t>
      </w:r>
      <w:r>
        <w:rPr>
          <w:rFonts w:ascii="黑体" w:hAnsi="黑体" w:eastAsia="黑体" w:cs="Times New Roman"/>
          <w:sz w:val="24"/>
          <w:szCs w:val="28"/>
        </w:rPr>
        <w:t>理化分析</w:t>
      </w:r>
      <w:r>
        <w:rPr>
          <w:rFonts w:hint="eastAsia" w:ascii="黑体" w:hAnsi="黑体" w:eastAsia="黑体" w:cs="Times New Roman"/>
          <w:sz w:val="24"/>
          <w:szCs w:val="28"/>
        </w:rPr>
        <w:t>检测</w:t>
      </w:r>
      <w:r>
        <w:rPr>
          <w:rFonts w:ascii="黑体" w:hAnsi="黑体" w:eastAsia="黑体" w:cs="Times New Roman"/>
          <w:sz w:val="24"/>
          <w:szCs w:val="28"/>
        </w:rPr>
        <w:t>结果</w:t>
      </w:r>
    </w:p>
    <w:p>
      <w:r>
        <w:rPr>
          <w:rFonts w:hint="eastAsia" w:ascii="Times New Roman" w:hAnsi="Times New Roman" w:cs="Times New Roman"/>
          <w:b/>
          <w:bCs/>
          <w:sz w:val="28"/>
          <w:szCs w:val="28"/>
        </w:rPr>
        <w:drawing>
          <wp:inline distT="0" distB="0" distL="114300" distR="114300">
            <wp:extent cx="5407025" cy="2724785"/>
            <wp:effectExtent l="0" t="0" r="1270" b="6350"/>
            <wp:docPr id="1" name="图片 1" descr="土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土壤"/>
                    <pic:cNvPicPr>
                      <a:picLocks noChangeAspect="1"/>
                    </pic:cNvPicPr>
                  </pic:nvPicPr>
                  <pic:blipFill>
                    <a:blip r:embed="rId5"/>
                    <a:stretch>
                      <a:fillRect/>
                    </a:stretch>
                  </pic:blipFill>
                  <pic:spPr>
                    <a:xfrm>
                      <a:off x="0" y="0"/>
                      <a:ext cx="5407025" cy="2724785"/>
                    </a:xfrm>
                    <a:prstGeom prst="rect">
                      <a:avLst/>
                    </a:prstGeom>
                  </pic:spPr>
                </pic:pic>
              </a:graphicData>
            </a:graphic>
          </wp:inline>
        </w:drawing>
      </w:r>
    </w:p>
    <w:p>
      <w:pPr>
        <w:pStyle w:val="3"/>
        <w:ind w:firstLine="0" w:firstLineChars="0"/>
      </w:pPr>
      <w:r>
        <w:rPr>
          <w:rFonts w:hint="eastAsia" w:cs="Times New Roman"/>
        </w:rPr>
        <w:drawing>
          <wp:inline distT="0" distB="0" distL="114300" distR="114300">
            <wp:extent cx="5433060" cy="3263265"/>
            <wp:effectExtent l="0" t="0" r="7620" b="7620"/>
            <wp:docPr id="3" name="图片 3" descr="土壤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土壤2"/>
                    <pic:cNvPicPr>
                      <a:picLocks noChangeAspect="1"/>
                    </pic:cNvPicPr>
                  </pic:nvPicPr>
                  <pic:blipFill>
                    <a:blip r:embed="rId6"/>
                    <a:stretch>
                      <a:fillRect/>
                    </a:stretch>
                  </pic:blipFill>
                  <pic:spPr>
                    <a:xfrm>
                      <a:off x="0" y="0"/>
                      <a:ext cx="5433060" cy="3263265"/>
                    </a:xfrm>
                    <a:prstGeom prst="rect">
                      <a:avLst/>
                    </a:prstGeom>
                  </pic:spPr>
                </pic:pic>
              </a:graphicData>
            </a:graphic>
          </wp:inline>
        </w:drawing>
      </w:r>
    </w:p>
    <w:p>
      <w:pPr>
        <w:pStyle w:val="4"/>
        <w:spacing w:line="360" w:lineRule="auto"/>
        <w:ind w:firstLine="480"/>
        <w:rPr>
          <w:rFonts w:ascii="仿宋" w:hAnsi="仿宋" w:eastAsia="仿宋" w:cs="仿宋"/>
          <w:sz w:val="24"/>
          <w:szCs w:val="24"/>
        </w:rPr>
      </w:pPr>
      <w:r>
        <w:rPr>
          <w:rFonts w:hint="eastAsia" w:ascii="仿宋" w:hAnsi="仿宋" w:eastAsia="仿宋" w:cs="仿宋"/>
          <w:sz w:val="24"/>
          <w:szCs w:val="24"/>
        </w:rPr>
        <w:t>2.水质和水量监测</w:t>
      </w:r>
    </w:p>
    <w:p>
      <w:pPr>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认证范围内的林地位置大部分远离村庄，周边的河流、集水区较少，当地居民以地下水为生活用水主要来源。为便于监测，森林认证工作小组将水质监测点设在了固定样地的周边，因此每个基地一个水质监测点。观测公司人工林作业（主要整地、施肥、砍伐、建路、修路等）对水土流失、水质、水量的影响。因水质监测点均不是饮用水，所以水质室内分析按常规的方法进行。</w:t>
      </w:r>
    </w:p>
    <w:p>
      <w:pPr>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最近一次土壤和水质监测时间在2024年3月份，14家份公司FSC</w:t>
      </w:r>
      <w:r>
        <w:rPr>
          <w:rFonts w:hint="eastAsia" w:ascii="仿宋" w:hAnsi="仿宋" w:eastAsia="仿宋" w:cs="仿宋"/>
          <w:sz w:val="24"/>
          <w:szCs w:val="24"/>
          <w:vertAlign w:val="superscript"/>
        </w:rPr>
        <w:t>®</w:t>
      </w:r>
      <w:r>
        <w:rPr>
          <w:rFonts w:hint="eastAsia" w:ascii="仿宋" w:hAnsi="仿宋" w:eastAsia="仿宋" w:cs="仿宋"/>
          <w:sz w:val="24"/>
          <w:szCs w:val="24"/>
        </w:rPr>
        <w:t>工作小组将所取水样送至中国热带农业科学院橡胶研究所进行水质室内分析，监测内容包括：氮、磷、钾、PH、汞、砷、镉含量情况。监测结果详见表5。根据我国《地表水环境质量标准》的水域功能和标准分类，监测结果显示的指标基本达到Ⅲ类用水的要求，满足水产养殖区、渔业水域、游泳区、人体非直接接触的娱乐用水区、农业用水区及一般景观要求水域等的用水要求。</w:t>
      </w:r>
    </w:p>
    <w:p>
      <w:pPr>
        <w:spacing w:line="300" w:lineRule="auto"/>
        <w:jc w:val="center"/>
        <w:rPr>
          <w:rFonts w:cs="Times New Roman" w:asciiTheme="minorEastAsia" w:hAnsiTheme="minorEastAsia"/>
          <w:sz w:val="24"/>
          <w:szCs w:val="24"/>
        </w:rPr>
      </w:pPr>
      <w:r>
        <w:rPr>
          <w:rFonts w:hint="eastAsia" w:ascii="黑体" w:hAnsi="黑体" w:eastAsia="黑体" w:cs="Times New Roman"/>
          <w:sz w:val="24"/>
          <w:szCs w:val="28"/>
        </w:rPr>
        <w:t>表5   水质室内</w:t>
      </w:r>
      <w:r>
        <w:rPr>
          <w:rFonts w:ascii="黑体" w:hAnsi="黑体" w:eastAsia="黑体" w:cs="Times New Roman"/>
          <w:sz w:val="24"/>
          <w:szCs w:val="28"/>
        </w:rPr>
        <w:t>分析</w:t>
      </w:r>
      <w:r>
        <w:rPr>
          <w:rFonts w:hint="eastAsia" w:ascii="黑体" w:hAnsi="黑体" w:eastAsia="黑体" w:cs="Times New Roman"/>
          <w:sz w:val="24"/>
          <w:szCs w:val="28"/>
        </w:rPr>
        <w:t>检测</w:t>
      </w:r>
      <w:r>
        <w:rPr>
          <w:rFonts w:ascii="黑体" w:hAnsi="黑体" w:eastAsia="黑体" w:cs="Times New Roman"/>
          <w:sz w:val="24"/>
          <w:szCs w:val="28"/>
        </w:rPr>
        <w:t>结果</w:t>
      </w:r>
    </w:p>
    <w:p>
      <w:pPr>
        <w:pStyle w:val="3"/>
        <w:ind w:firstLine="0" w:firstLineChars="0"/>
        <w:rPr>
          <w:rFonts w:cs="Times New Roman" w:asciiTheme="minorEastAsia" w:hAnsiTheme="minorEastAsia"/>
          <w:sz w:val="24"/>
          <w:szCs w:val="24"/>
        </w:rPr>
      </w:pPr>
      <w:r>
        <w:rPr>
          <w:rFonts w:hint="eastAsia" w:cs="Times New Roman" w:asciiTheme="minorEastAsia" w:hAnsiTheme="minorEastAsia"/>
          <w:sz w:val="24"/>
          <w:szCs w:val="24"/>
        </w:rPr>
        <w:drawing>
          <wp:inline distT="0" distB="0" distL="114300" distR="114300">
            <wp:extent cx="5377180" cy="3195955"/>
            <wp:effectExtent l="0" t="0" r="9525" b="10160"/>
            <wp:docPr id="5" name="图片 5" descr="1748781135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1748781135519"/>
                    <pic:cNvPicPr>
                      <a:picLocks noChangeAspect="1"/>
                    </pic:cNvPicPr>
                  </pic:nvPicPr>
                  <pic:blipFill>
                    <a:blip r:embed="rId7"/>
                    <a:stretch>
                      <a:fillRect/>
                    </a:stretch>
                  </pic:blipFill>
                  <pic:spPr>
                    <a:xfrm>
                      <a:off x="0" y="0"/>
                      <a:ext cx="5377180" cy="3195955"/>
                    </a:xfrm>
                    <a:prstGeom prst="rect">
                      <a:avLst/>
                    </a:prstGeom>
                  </pic:spPr>
                </pic:pic>
              </a:graphicData>
            </a:graphic>
          </wp:inline>
        </w:drawing>
      </w:r>
    </w:p>
    <w:p>
      <w:pPr>
        <w:rPr>
          <w:rFonts w:cs="Times New Roman" w:asciiTheme="minorEastAsia" w:hAnsiTheme="minorEastAsia"/>
          <w:sz w:val="24"/>
          <w:szCs w:val="24"/>
        </w:rPr>
      </w:pPr>
    </w:p>
    <w:p>
      <w:pPr>
        <w:pStyle w:val="3"/>
        <w:ind w:firstLine="0" w:firstLineChars="0"/>
      </w:pPr>
      <w:r>
        <w:rPr>
          <w:rFonts w:hint="eastAsia"/>
        </w:rPr>
        <w:drawing>
          <wp:inline distT="0" distB="0" distL="114300" distR="114300">
            <wp:extent cx="5355590" cy="3100070"/>
            <wp:effectExtent l="0" t="0" r="9525" b="8890"/>
            <wp:docPr id="6" name="图片 6" descr="174878126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1748781260025"/>
                    <pic:cNvPicPr>
                      <a:picLocks noChangeAspect="1"/>
                    </pic:cNvPicPr>
                  </pic:nvPicPr>
                  <pic:blipFill>
                    <a:blip r:embed="rId8"/>
                    <a:stretch>
                      <a:fillRect/>
                    </a:stretch>
                  </pic:blipFill>
                  <pic:spPr>
                    <a:xfrm>
                      <a:off x="0" y="0"/>
                      <a:ext cx="5355590" cy="3100070"/>
                    </a:xfrm>
                    <a:prstGeom prst="rect">
                      <a:avLst/>
                    </a:prstGeom>
                  </pic:spPr>
                </pic:pic>
              </a:graphicData>
            </a:graphic>
          </wp:inline>
        </w:drawing>
      </w:r>
    </w:p>
    <w:p>
      <w:pPr>
        <w:pStyle w:val="3"/>
        <w:ind w:firstLine="0" w:firstLineChars="0"/>
      </w:pPr>
    </w:p>
    <w:p>
      <w:pPr>
        <w:pStyle w:val="4"/>
        <w:spacing w:line="360" w:lineRule="auto"/>
        <w:ind w:firstLine="480"/>
        <w:rPr>
          <w:rFonts w:ascii="仿宋" w:hAnsi="仿宋" w:eastAsia="仿宋" w:cs="仿宋"/>
          <w:sz w:val="24"/>
          <w:szCs w:val="24"/>
        </w:rPr>
      </w:pPr>
      <w:r>
        <w:rPr>
          <w:rFonts w:hint="eastAsia" w:ascii="仿宋" w:hAnsi="仿宋" w:eastAsia="仿宋" w:cs="仿宋"/>
          <w:sz w:val="24"/>
          <w:szCs w:val="24"/>
        </w:rPr>
        <w:t>3. 生物多样性监测</w:t>
      </w:r>
    </w:p>
    <w:p>
      <w:pPr>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海南岛是我国重要热带地区，它地处北回归线附近，有独特的热带山地雨林和季雨林生态系统，植被类型复杂，野生动植物十分丰富。海胶集团位于海南岛西北部，认证林地主要树种为橡胶林，林地内各种小灌木及杂草等植被丰富，野生动植物亦有分布，但未发现有珍稀的野生动植物。</w:t>
      </w:r>
    </w:p>
    <w:p>
      <w:pPr>
        <w:pStyle w:val="21"/>
        <w:numPr>
          <w:ilvl w:val="0"/>
          <w:numId w:val="3"/>
        </w:numPr>
        <w:spacing w:line="360" w:lineRule="auto"/>
        <w:ind w:firstLineChars="0"/>
        <w:rPr>
          <w:rFonts w:ascii="仿宋" w:hAnsi="仿宋" w:eastAsia="仿宋" w:cs="仿宋"/>
          <w:sz w:val="24"/>
          <w:szCs w:val="24"/>
        </w:rPr>
      </w:pPr>
      <w:r>
        <w:rPr>
          <w:rFonts w:hint="eastAsia" w:ascii="仿宋" w:hAnsi="仿宋" w:eastAsia="仿宋" w:cs="仿宋"/>
          <w:sz w:val="24"/>
          <w:szCs w:val="24"/>
        </w:rPr>
        <w:t>植物资源</w:t>
      </w:r>
    </w:p>
    <w:p>
      <w:pPr>
        <w:spacing w:line="360" w:lineRule="auto"/>
        <w:ind w:firstLine="480" w:firstLineChars="200"/>
        <w:jc w:val="left"/>
        <w:rPr>
          <w:rFonts w:ascii="仿宋" w:hAnsi="仿宋" w:eastAsia="仿宋" w:cs="仿宋"/>
          <w:sz w:val="24"/>
          <w:szCs w:val="24"/>
        </w:rPr>
      </w:pPr>
      <w:r>
        <w:rPr>
          <w:rFonts w:hint="eastAsia" w:ascii="仿宋" w:hAnsi="仿宋" w:eastAsia="仿宋" w:cs="仿宋"/>
          <w:sz w:val="24"/>
          <w:szCs w:val="24"/>
        </w:rPr>
        <w:t>认证范围内植物种类繁多，市内植物有644种，隶426属128科，主要是无患子科、楝科、番荔枝科、梧桐科、蝶形花科、棕榈科和龙脑香科等热带植物。此外，樟科、大戟科、桃金娘科、禾本科、蕨类和水生藻类也较多。主要乔木树种有黄杞、黄樟、香樟、红桐、香槁、黄桐、沉香、枇杷、黄牛木、三角枫和黄胆等450多种；天然林树种有530多种，其中珍贵木材树种有青梅、母生、坡垒、银珠、苦梓、油楠、红木罗、鸡占、胭脂、花梨和白格等20多种。</w:t>
      </w:r>
      <w:r>
        <w:rPr>
          <w:rFonts w:hint="eastAsia" w:ascii="仿宋" w:hAnsi="仿宋" w:eastAsia="仿宋" w:cs="仿宋"/>
          <w:color w:val="000000" w:themeColor="text1"/>
          <w:sz w:val="24"/>
          <w:szCs w:val="24"/>
        </w:rPr>
        <w:t>认证范围的土地已人工经营多年，基本不存在受保护的珍稀濒危植物。地上主要为人工植被，主要树种为橡胶树，少量树种为马占、巨尾桉、黄花梨、菠萝蜜、椰子树等。</w:t>
      </w:r>
    </w:p>
    <w:p>
      <w:pPr>
        <w:numPr>
          <w:ilvl w:val="0"/>
          <w:numId w:val="3"/>
        </w:numPr>
        <w:spacing w:line="360" w:lineRule="auto"/>
        <w:rPr>
          <w:rFonts w:ascii="仿宋" w:hAnsi="仿宋" w:eastAsia="仿宋" w:cs="仿宋"/>
          <w:sz w:val="24"/>
          <w:szCs w:val="24"/>
        </w:rPr>
      </w:pPr>
      <w:r>
        <w:rPr>
          <w:rFonts w:hint="eastAsia" w:ascii="仿宋" w:hAnsi="仿宋" w:eastAsia="仿宋" w:cs="仿宋"/>
          <w:sz w:val="24"/>
          <w:szCs w:val="24"/>
        </w:rPr>
        <w:t>动物资源</w:t>
      </w:r>
    </w:p>
    <w:p>
      <w:pPr>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认证范围内野生动物有野猪、黄猄、兔、金钱豹、刺猬、果子狸、包公狸、猫花狸、水獭、水鹿、穿山甲和猕猴等，蛇类有蟒蛇、眼镜蛇、金环蛇、银环蛇、乌蛇、竹叶青蛇和过山龙蛇等。野禽有山鸡、鹧鸪、毛鸡、斑鸠、猫头鹰、鹭鸶、野鸭、乌鸦、鹰、啄木鸟、燕子、杜鹃、画眉、鹦鹉和八哥等数十种。其中水鹿(俗名“山马”)、穿山甲、蟒蛇和猕猴等10余种，列为国家保护的珍稀野生动物。认证范围内野生动物主要有豹猫、果子狸、穿山甲、海南山鹧鸪、猫头鹰、红原鸡、蟒蛇、银环蛇、眼睛蛇、眼镜王蛇等。其中有多种野生动物被纳入到国家保护动物名录和 CITES《濒危野生动植物物种国际贸易公约》。珍稀受保护野生动物种群数量非常小，没有集中分布区域。</w:t>
      </w:r>
    </w:p>
    <w:p>
      <w:pPr>
        <w:pStyle w:val="4"/>
        <w:numPr>
          <w:ilvl w:val="0"/>
          <w:numId w:val="4"/>
        </w:numPr>
        <w:spacing w:line="360" w:lineRule="auto"/>
        <w:ind w:firstLine="480"/>
        <w:rPr>
          <w:rFonts w:ascii="仿宋" w:hAnsi="仿宋" w:eastAsia="仿宋" w:cs="仿宋"/>
          <w:sz w:val="24"/>
          <w:szCs w:val="24"/>
        </w:rPr>
      </w:pPr>
      <w:r>
        <w:rPr>
          <w:rFonts w:hint="eastAsia" w:ascii="仿宋" w:hAnsi="仿宋" w:eastAsia="仿宋" w:cs="仿宋"/>
          <w:sz w:val="24"/>
          <w:szCs w:val="24"/>
        </w:rPr>
        <w:t>高保护价值及其他环境社会价值监测</w:t>
      </w:r>
    </w:p>
    <w:p>
      <w:pPr>
        <w:widowControl/>
        <w:shd w:val="clear" w:color="auto" w:fill="FFFFFF"/>
        <w:adjustRightInd w:val="0"/>
        <w:spacing w:line="360" w:lineRule="auto"/>
        <w:ind w:firstLine="480" w:firstLineChars="200"/>
        <w:rPr>
          <w:rFonts w:ascii="仿宋" w:hAnsi="仿宋" w:eastAsia="仿宋" w:cs="仿宋"/>
          <w:color w:val="000000" w:themeColor="text1"/>
          <w:kern w:val="0"/>
          <w:sz w:val="24"/>
          <w:szCs w:val="24"/>
        </w:rPr>
      </w:pPr>
      <w:r>
        <w:rPr>
          <w:rFonts w:hint="eastAsia" w:ascii="仿宋" w:hAnsi="仿宋" w:eastAsia="仿宋" w:cs="仿宋"/>
          <w:bCs/>
          <w:kern w:val="0"/>
          <w:sz w:val="24"/>
          <w:szCs w:val="24"/>
        </w:rPr>
        <w:t>保持水土安全和土壤肥力、保护生物多样性、珍稀动植物及其栖息环境、防止化学品对环境的污染、提高环保意识加强宣传教育。</w:t>
      </w:r>
      <w:r>
        <w:rPr>
          <w:rFonts w:hint="eastAsia" w:ascii="仿宋" w:hAnsi="仿宋" w:eastAsia="仿宋" w:cs="仿宋"/>
          <w:color w:val="000000" w:themeColor="text1"/>
          <w:kern w:val="0"/>
          <w:sz w:val="24"/>
          <w:szCs w:val="24"/>
        </w:rPr>
        <w:t>维持当地社区长期的社会利益和经济利益，支持当地公益事业建设。在同等条件下，经营过程中尽可能安排周围社区居民，走共同富裕道路。森林管护护林队伍中聘用护林员的选择，安排当地有责任心的村民担任，保障社区居民享有就业的机会。森林生产伐区安排应尽可能不影响当地村民的饮用水源区，加强水源水质监测，木材生产开设道路需经过当地村民的农田、森林、水渠等应合理补偿。保护当地社区具有特殊文化、生态、经济或宗教意义的场所，共建和谐社区关系，构建平安林区。</w:t>
      </w:r>
    </w:p>
    <w:p>
      <w:pPr>
        <w:pStyle w:val="3"/>
        <w:spacing w:line="360" w:lineRule="auto"/>
        <w:ind w:firstLine="562"/>
        <w:rPr>
          <w:rFonts w:ascii="仿宋" w:hAnsi="仿宋" w:eastAsia="仿宋" w:cs="仿宋"/>
          <w:b/>
          <w:bCs/>
          <w:szCs w:val="28"/>
        </w:rPr>
      </w:pPr>
      <w:r>
        <w:rPr>
          <w:rFonts w:hint="eastAsia" w:ascii="仿宋" w:hAnsi="仿宋" w:eastAsia="仿宋" w:cs="仿宋"/>
          <w:b/>
          <w:bCs/>
          <w:szCs w:val="28"/>
        </w:rPr>
        <w:t>（五）产销监管链监测</w:t>
      </w:r>
    </w:p>
    <w:p>
      <w:pPr>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海胶集团活立木主要委托海胶子公司组织采伐和运输，少量由中标方采伐，属地分公司会从源头监管到销售，主要监管宝橡林产和中标方林木采伐、运输、销售等过程，要求相关采伐队提供采伐许可证、林木销售合同、原木销售发票（FSC</w:t>
      </w:r>
      <w:r>
        <w:rPr>
          <w:rFonts w:hint="eastAsia" w:ascii="仿宋" w:hAnsi="仿宋" w:eastAsia="仿宋" w:cs="仿宋"/>
          <w:sz w:val="24"/>
          <w:szCs w:val="24"/>
          <w:vertAlign w:val="superscript"/>
        </w:rPr>
        <w:t xml:space="preserve">® </w:t>
      </w:r>
      <w:r>
        <w:rPr>
          <w:rFonts w:hint="eastAsia" w:ascii="仿宋" w:hAnsi="仿宋" w:eastAsia="仿宋" w:cs="仿宋"/>
          <w:sz w:val="24"/>
          <w:szCs w:val="24"/>
        </w:rPr>
        <w:t>100%）、过磅单和对外销售木材产品发票等，相关复印件资料交至分公司FSC</w:t>
      </w:r>
      <w:r>
        <w:rPr>
          <w:rFonts w:hint="eastAsia" w:ascii="仿宋" w:hAnsi="仿宋" w:eastAsia="仿宋" w:cs="仿宋"/>
          <w:sz w:val="24"/>
          <w:szCs w:val="24"/>
          <w:vertAlign w:val="superscript"/>
        </w:rPr>
        <w:t>®</w:t>
      </w:r>
      <w:r>
        <w:rPr>
          <w:rFonts w:hint="eastAsia" w:ascii="仿宋" w:hAnsi="仿宋" w:eastAsia="仿宋" w:cs="仿宋"/>
          <w:sz w:val="24"/>
          <w:szCs w:val="24"/>
        </w:rPr>
        <w:t>森林认证办公室检查和保存。对于非木质林产品（干胶）的监管主要是从胶工割胶、收胶、生产队胶乳台账、运输胶乳数量记录、中转站收胶记录、对橡胶加工厂运送胶乳记录和胶乳FSC</w:t>
      </w:r>
      <w:r>
        <w:rPr>
          <w:rFonts w:hint="eastAsia" w:ascii="仿宋" w:hAnsi="仿宋" w:eastAsia="仿宋" w:cs="仿宋"/>
          <w:sz w:val="24"/>
          <w:szCs w:val="24"/>
          <w:vertAlign w:val="superscript"/>
        </w:rPr>
        <w:t>®</w:t>
      </w:r>
      <w:r>
        <w:rPr>
          <w:rFonts w:hint="eastAsia" w:ascii="仿宋" w:hAnsi="仿宋" w:eastAsia="仿宋" w:cs="仿宋"/>
          <w:sz w:val="24"/>
          <w:szCs w:val="24"/>
        </w:rPr>
        <w:t>发票进行监管。</w:t>
      </w:r>
    </w:p>
    <w:p>
      <w:pPr>
        <w:pStyle w:val="2"/>
        <w:spacing w:line="360" w:lineRule="auto"/>
        <w:ind w:firstLine="643"/>
        <w:rPr>
          <w:rFonts w:ascii="仿宋" w:hAnsi="仿宋" w:eastAsia="仿宋" w:cs="仿宋"/>
          <w:sz w:val="32"/>
          <w:szCs w:val="32"/>
        </w:rPr>
      </w:pPr>
      <w:r>
        <w:rPr>
          <w:rFonts w:hint="eastAsia" w:ascii="仿宋" w:hAnsi="仿宋" w:eastAsia="仿宋" w:cs="仿宋"/>
          <w:sz w:val="32"/>
          <w:szCs w:val="32"/>
        </w:rPr>
        <w:t>六、结论和措施</w:t>
      </w:r>
    </w:p>
    <w:p>
      <w:pPr>
        <w:spacing w:line="360" w:lineRule="auto"/>
        <w:ind w:firstLine="480" w:firstLineChars="200"/>
        <w:rPr>
          <w:rFonts w:ascii="仿宋" w:hAnsi="仿宋" w:eastAsia="仿宋" w:cs="仿宋"/>
          <w:color w:val="000000" w:themeColor="text1"/>
          <w:sz w:val="24"/>
          <w:szCs w:val="24"/>
        </w:rPr>
      </w:pPr>
      <w:r>
        <w:rPr>
          <w:rFonts w:hint="eastAsia" w:ascii="仿宋" w:hAnsi="仿宋" w:eastAsia="仿宋" w:cs="仿宋"/>
          <w:color w:val="000000" w:themeColor="text1"/>
          <w:sz w:val="24"/>
          <w:szCs w:val="24"/>
        </w:rPr>
        <w:t>本次根据监测体系收集了2025年1-12月期间参加海胶集团FSC</w:t>
      </w:r>
      <w:r>
        <w:rPr>
          <w:rFonts w:hint="eastAsia" w:ascii="仿宋" w:hAnsi="仿宋" w:eastAsia="仿宋" w:cs="仿宋"/>
          <w:color w:val="000000" w:themeColor="text1"/>
          <w:sz w:val="24"/>
          <w:szCs w:val="24"/>
          <w:vertAlign w:val="superscript"/>
        </w:rPr>
        <w:t>®</w:t>
      </w:r>
      <w:r>
        <w:rPr>
          <w:rFonts w:hint="eastAsia" w:ascii="仿宋" w:hAnsi="仿宋" w:eastAsia="仿宋" w:cs="仿宋"/>
          <w:color w:val="000000" w:themeColor="text1"/>
          <w:sz w:val="24"/>
          <w:szCs w:val="24"/>
        </w:rPr>
        <w:t>森林认证的14家分公司的经营活动、森林经营活动环境影响、森林经营活动的社会影响、森林的环境价值及环境状况和产销监管链监等方面的情况。</w:t>
      </w:r>
    </w:p>
    <w:p>
      <w:pPr>
        <w:pStyle w:val="3"/>
        <w:spacing w:line="360" w:lineRule="auto"/>
        <w:ind w:firstLine="562"/>
        <w:rPr>
          <w:rFonts w:ascii="仿宋" w:hAnsi="仿宋" w:eastAsia="仿宋" w:cs="仿宋"/>
          <w:b/>
          <w:bCs/>
          <w:color w:val="000000" w:themeColor="text1"/>
          <w:szCs w:val="28"/>
        </w:rPr>
      </w:pPr>
      <w:r>
        <w:rPr>
          <w:rFonts w:hint="eastAsia" w:ascii="仿宋" w:hAnsi="仿宋" w:eastAsia="仿宋" w:cs="仿宋"/>
          <w:b/>
          <w:bCs/>
          <w:color w:val="000000" w:themeColor="text1"/>
          <w:szCs w:val="28"/>
        </w:rPr>
        <w:t>（一）结论</w:t>
      </w:r>
    </w:p>
    <w:p>
      <w:pPr>
        <w:spacing w:line="360" w:lineRule="auto"/>
        <w:ind w:firstLine="480" w:firstLineChars="200"/>
        <w:rPr>
          <w:rFonts w:ascii="仿宋" w:hAnsi="仿宋" w:eastAsia="仿宋" w:cs="仿宋"/>
          <w:color w:val="000000" w:themeColor="text1"/>
          <w:sz w:val="24"/>
          <w:szCs w:val="24"/>
        </w:rPr>
      </w:pPr>
      <w:r>
        <w:rPr>
          <w:rFonts w:hint="eastAsia" w:ascii="仿宋" w:hAnsi="仿宋" w:eastAsia="仿宋" w:cs="仿宋"/>
          <w:color w:val="000000" w:themeColor="text1"/>
          <w:sz w:val="24"/>
          <w:szCs w:val="24"/>
        </w:rPr>
        <w:t>1、林地资源及林木生长：分公司经营的森林资源丰富，据监测样点每亩平均蓄积为</w:t>
      </w:r>
      <w:r>
        <w:rPr>
          <w:rFonts w:hint="eastAsia" w:ascii="仿宋" w:hAnsi="仿宋" w:eastAsia="仿宋" w:cs="仿宋"/>
          <w:sz w:val="24"/>
          <w:szCs w:val="24"/>
        </w:rPr>
        <w:t>6.9</w:t>
      </w:r>
      <w:r>
        <w:rPr>
          <w:rFonts w:hint="eastAsia" w:ascii="仿宋" w:hAnsi="仿宋" w:eastAsia="仿宋" w:cs="仿宋"/>
          <w:color w:val="000000" w:themeColor="text1"/>
          <w:sz w:val="24"/>
          <w:szCs w:val="24"/>
        </w:rPr>
        <w:t>立方米，林龄结构适宜从造林、抚育、采伐周期性经营活动，分公司营林活动可持续稳健发展。</w:t>
      </w:r>
    </w:p>
    <w:p>
      <w:pPr>
        <w:spacing w:line="360" w:lineRule="auto"/>
        <w:ind w:firstLine="480" w:firstLineChars="200"/>
        <w:rPr>
          <w:rFonts w:ascii="仿宋" w:hAnsi="仿宋" w:eastAsia="仿宋" w:cs="仿宋"/>
          <w:color w:val="000000" w:themeColor="text1"/>
          <w:sz w:val="24"/>
          <w:szCs w:val="24"/>
        </w:rPr>
      </w:pPr>
      <w:r>
        <w:rPr>
          <w:rFonts w:hint="eastAsia" w:ascii="仿宋" w:hAnsi="仿宋" w:eastAsia="仿宋" w:cs="仿宋"/>
          <w:color w:val="000000" w:themeColor="text1"/>
          <w:sz w:val="24"/>
          <w:szCs w:val="24"/>
        </w:rPr>
        <w:t>2、非木质林产品生产</w:t>
      </w:r>
    </w:p>
    <w:p>
      <w:pPr>
        <w:spacing w:line="360" w:lineRule="auto"/>
        <w:ind w:firstLine="480" w:firstLineChars="200"/>
        <w:rPr>
          <w:rFonts w:ascii="仿宋" w:hAnsi="仿宋" w:eastAsia="仿宋" w:cs="仿宋"/>
          <w:color w:val="000000" w:themeColor="text1"/>
          <w:sz w:val="24"/>
          <w:szCs w:val="24"/>
        </w:rPr>
      </w:pPr>
      <w:r>
        <w:rPr>
          <w:rFonts w:hint="eastAsia" w:ascii="仿宋" w:hAnsi="仿宋" w:eastAsia="仿宋" w:cs="仿宋"/>
          <w:sz w:val="24"/>
          <w:szCs w:val="24"/>
        </w:rPr>
        <w:t>海胶集团FSC</w:t>
      </w:r>
      <w:r>
        <w:rPr>
          <w:rFonts w:hint="eastAsia" w:ascii="仿宋" w:hAnsi="仿宋" w:eastAsia="仿宋" w:cs="仿宋"/>
          <w:sz w:val="24"/>
          <w:szCs w:val="24"/>
          <w:vertAlign w:val="superscript"/>
        </w:rPr>
        <w:t>®</w:t>
      </w:r>
      <w:r>
        <w:rPr>
          <w:rFonts w:hint="eastAsia" w:ascii="仿宋" w:hAnsi="仿宋" w:eastAsia="仿宋" w:cs="仿宋"/>
          <w:sz w:val="24"/>
          <w:szCs w:val="24"/>
        </w:rPr>
        <w:t>认证非木质林产品为天然橡胶胶乳，2025年14家分公司最大储胶能力60930吨，计划生产55216吨、实际完成51400吨，完成计划的93.1%；除了发展橡胶主业，公司鼓励开展其他非木质林产品经营，充分利用光能和地力，有利于保持水土，防止杂草竞争，增加短期效益，同时实行农林间作复合经营也是培肥林地的有效措施。</w:t>
      </w:r>
      <w:r>
        <w:rPr>
          <w:rFonts w:hint="eastAsia" w:ascii="仿宋" w:hAnsi="仿宋" w:eastAsia="仿宋" w:cs="仿宋"/>
          <w:color w:val="000000" w:themeColor="text1"/>
          <w:sz w:val="24"/>
          <w:szCs w:val="24"/>
          <w:shd w:val="clear" w:color="auto" w:fill="FFFFFF"/>
        </w:rPr>
        <w:t>FSC</w:t>
      </w:r>
      <w:r>
        <w:rPr>
          <w:rFonts w:hint="eastAsia" w:ascii="仿宋" w:hAnsi="仿宋" w:eastAsia="仿宋" w:cs="仿宋"/>
          <w:color w:val="000000" w:themeColor="text1"/>
          <w:sz w:val="24"/>
          <w:szCs w:val="24"/>
          <w:shd w:val="clear" w:color="auto" w:fill="FFFFFF"/>
          <w:vertAlign w:val="superscript"/>
        </w:rPr>
        <w:t>®</w:t>
      </w:r>
      <w:r>
        <w:rPr>
          <w:rFonts w:hint="eastAsia" w:ascii="仿宋" w:hAnsi="仿宋" w:eastAsia="仿宋" w:cs="仿宋"/>
          <w:color w:val="000000" w:themeColor="text1"/>
          <w:sz w:val="24"/>
          <w:szCs w:val="24"/>
          <w:shd w:val="clear" w:color="auto" w:fill="FFFFFF"/>
        </w:rPr>
        <w:t>认证</w:t>
      </w:r>
      <w:r>
        <w:rPr>
          <w:rFonts w:hint="eastAsia" w:ascii="仿宋" w:hAnsi="仿宋" w:eastAsia="仿宋" w:cs="仿宋"/>
          <w:color w:val="000000" w:themeColor="text1"/>
          <w:sz w:val="24"/>
          <w:szCs w:val="24"/>
        </w:rPr>
        <w:t>经营范围内，除天然橡胶外，无其他FSC</w:t>
      </w:r>
      <w:r>
        <w:rPr>
          <w:rFonts w:hint="eastAsia" w:ascii="仿宋" w:hAnsi="仿宋" w:eastAsia="仿宋" w:cs="仿宋"/>
          <w:color w:val="000000" w:themeColor="text1"/>
          <w:sz w:val="24"/>
          <w:szCs w:val="24"/>
          <w:vertAlign w:val="superscript"/>
        </w:rPr>
        <w:t>®</w:t>
      </w:r>
      <w:r>
        <w:rPr>
          <w:rFonts w:hint="eastAsia" w:ascii="仿宋" w:hAnsi="仿宋" w:eastAsia="仿宋" w:cs="仿宋"/>
          <w:color w:val="000000" w:themeColor="text1"/>
          <w:sz w:val="24"/>
          <w:szCs w:val="24"/>
        </w:rPr>
        <w:t>认证的非木质林产品。</w:t>
      </w:r>
    </w:p>
    <w:p>
      <w:pPr>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3、森经营活动：</w:t>
      </w:r>
      <w:r>
        <w:rPr>
          <w:rFonts w:hint="eastAsia" w:ascii="仿宋" w:hAnsi="仿宋" w:eastAsia="仿宋" w:cs="仿宋"/>
          <w:sz w:val="24"/>
          <w:szCs w:val="24"/>
          <w:shd w:val="clear" w:color="auto" w:fill="FFFFFF"/>
        </w:rPr>
        <w:t>参加本次FSC</w:t>
      </w:r>
      <w:r>
        <w:rPr>
          <w:rFonts w:hint="eastAsia" w:ascii="仿宋" w:hAnsi="仿宋" w:eastAsia="仿宋" w:cs="仿宋"/>
          <w:sz w:val="24"/>
          <w:szCs w:val="24"/>
          <w:shd w:val="clear" w:color="auto" w:fill="FFFFFF"/>
          <w:vertAlign w:val="superscript"/>
        </w:rPr>
        <w:t>®</w:t>
      </w:r>
      <w:r>
        <w:rPr>
          <w:rFonts w:hint="eastAsia" w:ascii="仿宋" w:hAnsi="仿宋" w:eastAsia="仿宋" w:cs="仿宋"/>
          <w:sz w:val="24"/>
          <w:szCs w:val="24"/>
          <w:shd w:val="clear" w:color="auto" w:fill="FFFFFF"/>
        </w:rPr>
        <w:t>森林认证的海胶集团所属14家分公司2025年</w:t>
      </w:r>
      <w:r>
        <w:rPr>
          <w:rFonts w:hint="eastAsia" w:ascii="仿宋" w:hAnsi="仿宋" w:eastAsia="仿宋" w:cs="仿宋"/>
          <w:sz w:val="24"/>
          <w:szCs w:val="24"/>
        </w:rPr>
        <w:t>共完成采伐面积2</w:t>
      </w:r>
      <w:r>
        <w:rPr>
          <w:rFonts w:hint="eastAsia" w:ascii="仿宋" w:hAnsi="仿宋" w:eastAsia="仿宋" w:cs="仿宋"/>
          <w:sz w:val="24"/>
          <w:szCs w:val="24"/>
          <w:lang w:val="en-US" w:eastAsia="zh-CN"/>
        </w:rPr>
        <w:t>359</w:t>
      </w:r>
      <w:r>
        <w:rPr>
          <w:rFonts w:hint="eastAsia" w:ascii="仿宋" w:hAnsi="仿宋" w:eastAsia="仿宋" w:cs="仿宋"/>
          <w:sz w:val="24"/>
          <w:szCs w:val="24"/>
        </w:rPr>
        <w:t>公顷，生产木材共计2</w:t>
      </w:r>
      <w:r>
        <w:rPr>
          <w:rFonts w:hint="eastAsia" w:ascii="仿宋" w:hAnsi="仿宋" w:eastAsia="仿宋" w:cs="仿宋"/>
          <w:sz w:val="24"/>
          <w:szCs w:val="24"/>
          <w:lang w:val="en-US" w:eastAsia="zh-CN"/>
        </w:rPr>
        <w:t>56041</w:t>
      </w:r>
      <w:r>
        <w:rPr>
          <w:rFonts w:hint="eastAsia" w:ascii="仿宋" w:hAnsi="仿宋" w:eastAsia="仿宋" w:cs="仿宋"/>
          <w:sz w:val="24"/>
          <w:szCs w:val="24"/>
        </w:rPr>
        <w:t>立方米；2025年造林面积为2323.24公顷、人工除草2323.24公顷；FSC</w:t>
      </w:r>
      <w:r>
        <w:rPr>
          <w:rFonts w:hint="eastAsia" w:ascii="仿宋" w:hAnsi="仿宋" w:eastAsia="仿宋" w:cs="仿宋"/>
          <w:sz w:val="24"/>
          <w:szCs w:val="24"/>
          <w:vertAlign w:val="superscript"/>
        </w:rPr>
        <w:t>®</w:t>
      </w:r>
      <w:r>
        <w:rPr>
          <w:rFonts w:hint="eastAsia" w:ascii="仿宋" w:hAnsi="仿宋" w:eastAsia="仿宋" w:cs="仿宋"/>
          <w:sz w:val="24"/>
          <w:szCs w:val="24"/>
        </w:rPr>
        <w:t>认证橡胶园累计施放有机肥118021吨、施放化肥16252吨。</w:t>
      </w:r>
    </w:p>
    <w:p>
      <w:pPr>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4、森林防护：认证范围内未发生大面积病虫害，2025年林业有害生物主要为橡胶树白粉病，累计发生面积6.34万公顷，其中重度2.47万公顷、中度1.42万公顷、轻度2.45万公顷，成灾率为0，针对橡胶树白粉病进行防治，防治效果达95.8%，主要使用的防治药物为：硫磺粉。这些药物均不在FSC</w:t>
      </w:r>
      <w:r>
        <w:rPr>
          <w:rFonts w:hint="eastAsia" w:ascii="仿宋" w:hAnsi="仿宋" w:eastAsia="仿宋" w:cs="仿宋"/>
          <w:sz w:val="24"/>
          <w:szCs w:val="24"/>
          <w:vertAlign w:val="superscript"/>
        </w:rPr>
        <w:t>®</w:t>
      </w:r>
      <w:r>
        <w:rPr>
          <w:rFonts w:hint="eastAsia" w:ascii="仿宋" w:hAnsi="仿宋" w:eastAsia="仿宋" w:cs="仿宋"/>
          <w:sz w:val="24"/>
          <w:szCs w:val="24"/>
        </w:rPr>
        <w:t>禁用化学药品之列。森林病虫防治及控制效果较好，进一步确保林分生长的健康和稳定。无风灾。2025年1月至12月没有发生盗伐林木情况，发生林地被侵占事件39起（72.94公顷），村民土地纠纷11起，当地政府林地征占用27.4公顷，没有天然林转化为人工林情况。</w:t>
      </w:r>
    </w:p>
    <w:p>
      <w:pPr>
        <w:spacing w:line="360" w:lineRule="auto"/>
        <w:ind w:firstLine="480" w:firstLineChars="200"/>
        <w:rPr>
          <w:rFonts w:ascii="仿宋" w:hAnsi="仿宋" w:eastAsia="仿宋" w:cs="仿宋"/>
          <w:color w:val="000000" w:themeColor="text1"/>
          <w:sz w:val="24"/>
          <w:szCs w:val="24"/>
        </w:rPr>
      </w:pPr>
      <w:r>
        <w:rPr>
          <w:rFonts w:hint="eastAsia" w:ascii="仿宋" w:hAnsi="仿宋" w:eastAsia="仿宋" w:cs="仿宋"/>
          <w:sz w:val="24"/>
          <w:szCs w:val="24"/>
        </w:rPr>
        <w:t>海胶集团14家FSC</w:t>
      </w:r>
      <w:r>
        <w:rPr>
          <w:rFonts w:hint="eastAsia" w:ascii="仿宋" w:hAnsi="仿宋" w:eastAsia="仿宋" w:cs="仿宋"/>
          <w:sz w:val="24"/>
          <w:szCs w:val="24"/>
          <w:vertAlign w:val="superscript"/>
        </w:rPr>
        <w:t>®</w:t>
      </w:r>
      <w:r>
        <w:rPr>
          <w:rFonts w:hint="eastAsia" w:ascii="仿宋" w:hAnsi="仿宋" w:eastAsia="仿宋" w:cs="仿宋"/>
          <w:sz w:val="24"/>
          <w:szCs w:val="24"/>
        </w:rPr>
        <w:t>认证单位共聘用680名护林员，每年每人巡护220天，另外专门配备公益林专职管护人员206名[其中：专职护林人员169名，技术人员（兼职）11名，管理人员（兼职）26名]对公益林进行常态化管理，护林员保护了公司森林资源不受破坏，及时发现林地内的非法活动13起，全部通过内部协商完成调解或处理13起。</w:t>
      </w:r>
    </w:p>
    <w:p>
      <w:pPr>
        <w:spacing w:line="360" w:lineRule="auto"/>
        <w:ind w:firstLine="480" w:firstLineChars="200"/>
        <w:rPr>
          <w:rFonts w:ascii="仿宋" w:hAnsi="仿宋" w:eastAsia="仿宋" w:cs="仿宋"/>
          <w:color w:val="000000" w:themeColor="text1"/>
          <w:sz w:val="24"/>
          <w:szCs w:val="24"/>
        </w:rPr>
      </w:pPr>
      <w:r>
        <w:rPr>
          <w:rFonts w:hint="eastAsia" w:ascii="仿宋" w:hAnsi="仿宋" w:eastAsia="仿宋" w:cs="仿宋"/>
          <w:color w:val="000000" w:themeColor="text1"/>
          <w:kern w:val="0"/>
          <w:sz w:val="24"/>
          <w:szCs w:val="24"/>
        </w:rPr>
        <w:t>5、</w:t>
      </w:r>
      <w:r>
        <w:rPr>
          <w:rFonts w:hint="eastAsia" w:ascii="仿宋" w:hAnsi="仿宋" w:eastAsia="仿宋" w:cs="仿宋"/>
          <w:color w:val="000000" w:themeColor="text1"/>
          <w:sz w:val="24"/>
          <w:szCs w:val="24"/>
        </w:rPr>
        <w:t>员工权益保护：分公司为林地生产、采伐工人提供了如安全帽（配有耳塞）、防割手套、防割裤、反光服装、安全鞋（靴）等，均购买了意外伤害险，并配备了应急药品等。没有出现人员伤亡等情况。要求喷施农药工人穿戴相应的口罩、穿工作服等保护装备，工人健康安全得到有效保障，没有无出现工人中毒等情况。</w:t>
      </w:r>
    </w:p>
    <w:p>
      <w:pPr>
        <w:numPr>
          <w:ilvl w:val="0"/>
          <w:numId w:val="5"/>
        </w:numPr>
        <w:spacing w:line="360" w:lineRule="auto"/>
        <w:ind w:firstLine="480" w:firstLineChars="200"/>
        <w:rPr>
          <w:rFonts w:ascii="仿宋" w:hAnsi="仿宋" w:eastAsia="仿宋" w:cs="仿宋"/>
          <w:sz w:val="24"/>
          <w:szCs w:val="24"/>
        </w:rPr>
      </w:pPr>
      <w:r>
        <w:rPr>
          <w:rFonts w:hint="eastAsia" w:ascii="仿宋" w:hAnsi="仿宋" w:eastAsia="仿宋" w:cs="仿宋"/>
          <w:color w:val="000000" w:themeColor="text1"/>
          <w:sz w:val="24"/>
          <w:szCs w:val="24"/>
        </w:rPr>
        <w:t>经济效益：据财务相关预算，</w:t>
      </w:r>
      <w:r>
        <w:rPr>
          <w:rFonts w:hint="eastAsia" w:ascii="仿宋" w:hAnsi="仿宋" w:eastAsia="仿宋" w:cs="仿宋"/>
          <w:sz w:val="24"/>
          <w:szCs w:val="24"/>
        </w:rPr>
        <w:t>2025年度毛利率约2.24%。</w:t>
      </w:r>
    </w:p>
    <w:p>
      <w:pPr>
        <w:spacing w:line="360" w:lineRule="auto"/>
        <w:ind w:firstLine="480" w:firstLineChars="200"/>
        <w:rPr>
          <w:rFonts w:ascii="仿宋" w:hAnsi="仿宋" w:eastAsia="仿宋" w:cs="仿宋"/>
          <w:color w:val="000000" w:themeColor="text1"/>
          <w:sz w:val="24"/>
          <w:szCs w:val="24"/>
        </w:rPr>
      </w:pPr>
      <w:r>
        <w:rPr>
          <w:rFonts w:hint="eastAsia" w:ascii="仿宋" w:hAnsi="仿宋" w:eastAsia="仿宋" w:cs="仿宋"/>
          <w:color w:val="000000" w:themeColor="text1"/>
          <w:sz w:val="24"/>
          <w:szCs w:val="24"/>
        </w:rPr>
        <w:t>7、社会效益：分公司为当地社区在修路、扶贫、教育基金等方面提供了赞助，为当地村民提供就业机会，改善了当地居民的生产生活条件，与社区群众建立了良好的沟通平台。</w:t>
      </w:r>
    </w:p>
    <w:p>
      <w:pPr>
        <w:spacing w:line="360" w:lineRule="auto"/>
        <w:ind w:firstLine="480" w:firstLineChars="200"/>
        <w:rPr>
          <w:rFonts w:ascii="仿宋" w:hAnsi="仿宋" w:eastAsia="仿宋" w:cs="仿宋"/>
          <w:color w:val="000000" w:themeColor="text1"/>
          <w:sz w:val="24"/>
          <w:szCs w:val="24"/>
        </w:rPr>
      </w:pPr>
      <w:r>
        <w:rPr>
          <w:rFonts w:hint="eastAsia" w:ascii="仿宋" w:hAnsi="仿宋" w:eastAsia="仿宋" w:cs="仿宋"/>
          <w:color w:val="000000" w:themeColor="text1"/>
          <w:sz w:val="24"/>
          <w:szCs w:val="24"/>
        </w:rPr>
        <w:t>8、环境效益与环境价值：海胶集团列入保护区网络面积共计30185.07 公顷，约占认证面积的29.3%。海胶集团的林地90%以上为人工纯林，有少部分混交林，林分状态趋于近天然林的状态，通过固定样点的监测，认证范围内乔木树种主要有橡胶树等，灌木主要有桃金娘、五指毛桃等；草本有飞机草、狗尾草等，公司认证范围暂未发现有保护植物。海胶集团在监测样点取土样和水样进行了检测，土壤未板结、重金属未超标；根据我国《地表水环境质量标准》的水域功能和标准分类，监测结果显示的指标基本达到Ⅲ类用水的要求，满足水产养殖区、渔业水域、游泳区、人体非直接接触的娱乐用水区、农业用水区及一般景观要求水域等的用水要求。</w:t>
      </w:r>
    </w:p>
    <w:p>
      <w:pPr>
        <w:pStyle w:val="3"/>
        <w:spacing w:line="360" w:lineRule="auto"/>
        <w:ind w:firstLine="562"/>
        <w:rPr>
          <w:rFonts w:ascii="仿宋" w:hAnsi="仿宋" w:eastAsia="仿宋" w:cs="仿宋"/>
          <w:b/>
          <w:bCs/>
          <w:color w:val="000000" w:themeColor="text1"/>
          <w:szCs w:val="28"/>
        </w:rPr>
      </w:pPr>
      <w:r>
        <w:rPr>
          <w:rFonts w:hint="eastAsia" w:ascii="仿宋" w:hAnsi="仿宋" w:eastAsia="仿宋" w:cs="仿宋"/>
          <w:b/>
          <w:bCs/>
          <w:color w:val="000000" w:themeColor="text1"/>
          <w:szCs w:val="28"/>
        </w:rPr>
        <w:t>（二）保障措施</w:t>
      </w:r>
    </w:p>
    <w:p>
      <w:pPr>
        <w:spacing w:line="360" w:lineRule="auto"/>
        <w:ind w:firstLine="480" w:firstLineChars="200"/>
        <w:rPr>
          <w:rFonts w:ascii="仿宋" w:hAnsi="仿宋" w:eastAsia="仿宋" w:cs="仿宋"/>
          <w:color w:val="000000" w:themeColor="text1"/>
          <w:sz w:val="24"/>
          <w:szCs w:val="24"/>
        </w:rPr>
      </w:pPr>
      <w:r>
        <w:rPr>
          <w:rFonts w:hint="eastAsia" w:ascii="仿宋" w:hAnsi="仿宋" w:eastAsia="仿宋" w:cs="仿宋"/>
          <w:color w:val="000000" w:themeColor="text1"/>
          <w:sz w:val="24"/>
          <w:szCs w:val="24"/>
        </w:rPr>
        <w:t>将根据森林监测结果改进措施，落实到海胶集团，同时修定、完善森林经营方案和相关技术规程中社会影响评估的相关内容，改善我公司与各利益相关方的关系，展示我公司的社会责任感，促进森林的可持续经营。</w:t>
      </w:r>
    </w:p>
    <w:p>
      <w:pPr>
        <w:spacing w:line="360" w:lineRule="auto"/>
        <w:ind w:firstLine="480" w:firstLineChars="200"/>
        <w:rPr>
          <w:rFonts w:ascii="仿宋" w:hAnsi="仿宋" w:eastAsia="仿宋" w:cs="仿宋"/>
          <w:color w:val="000000" w:themeColor="text1"/>
          <w:sz w:val="24"/>
          <w:szCs w:val="24"/>
        </w:rPr>
      </w:pPr>
      <w:r>
        <w:rPr>
          <w:rFonts w:hint="eastAsia" w:ascii="仿宋" w:hAnsi="仿宋" w:eastAsia="仿宋" w:cs="仿宋"/>
          <w:color w:val="000000" w:themeColor="text1"/>
          <w:sz w:val="24"/>
          <w:szCs w:val="24"/>
        </w:rPr>
        <w:t>严格按照各项规程操作，并在经营过程中贯彻落实可持续经营的理念，对森林的采伐利用坚持长大于消的原则，使森林质量不断提高，林木蓄积量不断增加，并以森林认证的原则和标准作为规范公司经营管理的准则。</w:t>
      </w:r>
    </w:p>
    <w:p>
      <w:pPr>
        <w:spacing w:line="360" w:lineRule="auto"/>
        <w:ind w:firstLine="480" w:firstLineChars="200"/>
        <w:rPr>
          <w:rFonts w:ascii="仿宋" w:hAnsi="仿宋" w:eastAsia="仿宋" w:cs="仿宋"/>
          <w:color w:val="000000" w:themeColor="text1"/>
          <w:sz w:val="24"/>
          <w:szCs w:val="24"/>
        </w:rPr>
      </w:pPr>
      <w:r>
        <w:rPr>
          <w:rFonts w:hint="eastAsia" w:ascii="仿宋" w:hAnsi="仿宋" w:eastAsia="仿宋" w:cs="仿宋"/>
          <w:color w:val="000000" w:themeColor="text1"/>
          <w:sz w:val="24"/>
          <w:szCs w:val="24"/>
        </w:rPr>
        <w:t>着重考虑森林环境的综合保护，杜绝水土流失。控制森林病虫害，监测森林火灾和自然灾害，不使用</w:t>
      </w:r>
      <w:r>
        <w:rPr>
          <w:rFonts w:hint="eastAsia" w:ascii="仿宋" w:hAnsi="仿宋" w:eastAsia="仿宋" w:cs="仿宋"/>
          <w:b/>
          <w:bCs/>
          <w:color w:val="000000"/>
          <w:kern w:val="0"/>
          <w:sz w:val="24"/>
          <w:szCs w:val="24"/>
        </w:rPr>
        <w:t>FSC</w:t>
      </w:r>
      <w:r>
        <w:rPr>
          <w:rFonts w:hint="eastAsia" w:ascii="仿宋" w:hAnsi="仿宋" w:eastAsia="仿宋" w:cs="仿宋"/>
          <w:b/>
          <w:bCs/>
          <w:color w:val="000000"/>
          <w:kern w:val="0"/>
          <w:sz w:val="24"/>
          <w:szCs w:val="24"/>
          <w:vertAlign w:val="superscript"/>
        </w:rPr>
        <w:t>®</w:t>
      </w:r>
      <w:r>
        <w:rPr>
          <w:rFonts w:hint="eastAsia" w:ascii="仿宋" w:hAnsi="仿宋" w:eastAsia="仿宋" w:cs="仿宋"/>
          <w:color w:val="000000" w:themeColor="text1"/>
          <w:sz w:val="24"/>
          <w:szCs w:val="24"/>
        </w:rPr>
        <w:t>禁用农药和国家规定的禁用农药，不使用污染森林环境的高危农药，减少使用农药，保护森林的综合生态功能，最大程度的发挥森林的生态效益、社会效益和经济效益。同时，进一步加大环境宣传力度，增加群众自觉保护环境的意识。</w:t>
      </w:r>
    </w:p>
    <w:p>
      <w:pPr>
        <w:pStyle w:val="3"/>
        <w:spacing w:line="360" w:lineRule="auto"/>
        <w:ind w:firstLine="480"/>
        <w:rPr>
          <w:rFonts w:ascii="仿宋" w:hAnsi="仿宋" w:eastAsia="仿宋" w:cs="仿宋"/>
          <w:color w:val="000000" w:themeColor="text1"/>
          <w:sz w:val="24"/>
          <w:szCs w:val="24"/>
        </w:rPr>
      </w:pPr>
    </w:p>
    <w:p>
      <w:pPr>
        <w:spacing w:line="360" w:lineRule="auto"/>
      </w:pPr>
      <w:r>
        <w:rPr>
          <w:rFonts w:hint="eastAsia" w:ascii="仿宋" w:hAnsi="仿宋" w:eastAsia="仿宋" w:cs="仿宋"/>
          <w:color w:val="000000" w:themeColor="text1"/>
          <w:sz w:val="24"/>
          <w:szCs w:val="24"/>
        </w:rPr>
        <w:t>附见1：林地分布图</w:t>
      </w:r>
      <w:r>
        <w:rPr>
          <w:rFonts w:ascii="仿宋" w:hAnsi="仿宋" w:eastAsia="仿宋" w:cs="仿宋"/>
          <w:b/>
          <w:bCs/>
          <w:sz w:val="32"/>
          <w:szCs w:val="32"/>
        </w:rPr>
        <w:drawing>
          <wp:anchor distT="0" distB="0" distL="0" distR="0" simplePos="0" relativeHeight="251662336" behindDoc="0" locked="0" layoutInCell="1" allowOverlap="1">
            <wp:simplePos x="0" y="0"/>
            <wp:positionH relativeFrom="column">
              <wp:posOffset>-1567815</wp:posOffset>
            </wp:positionH>
            <wp:positionV relativeFrom="paragraph">
              <wp:posOffset>631190</wp:posOffset>
            </wp:positionV>
            <wp:extent cx="8362315" cy="4751705"/>
            <wp:effectExtent l="0" t="0" r="635" b="10795"/>
            <wp:wrapNone/>
            <wp:docPr id="4" name="图片 4" descr="E:\FSC\认证林地范围图\海胶集团各基地分14家公司FSC－FM认证单位所在位置分布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E:\FSC\认证林地范围图\海胶集团各基地分14家公司FSC－FM认证单位所在位置分布图.jpg"/>
                    <pic:cNvPicPr>
                      <a:picLocks noChangeAspect="1" noChangeArrowheads="1"/>
                    </pic:cNvPicPr>
                  </pic:nvPicPr>
                  <pic:blipFill>
                    <a:blip r:embed="rId9" cstate="print"/>
                    <a:srcRect t="6266"/>
                    <a:stretch>
                      <a:fillRect/>
                    </a:stretch>
                  </pic:blipFill>
                  <pic:spPr>
                    <a:xfrm>
                      <a:off x="1746885" y="1619885"/>
                      <a:ext cx="8362315" cy="4751705"/>
                    </a:xfrm>
                    <a:prstGeom prst="rect">
                      <a:avLst/>
                    </a:prstGeom>
                    <a:noFill/>
                    <a:ln w="9525">
                      <a:noFill/>
                      <a:miter lim="800000"/>
                      <a:headEnd/>
                      <a:tailEnd/>
                    </a:ln>
                  </pic:spPr>
                </pic:pic>
              </a:graphicData>
            </a:graphic>
          </wp:anchor>
        </w:drawing>
      </w:r>
    </w:p>
    <w:sectPr>
      <w:footerReference r:id="rId3" w:type="default"/>
      <w:pgSz w:w="11906" w:h="16838"/>
      <w:pgMar w:top="1440" w:right="1797" w:bottom="1440" w:left="1797"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rPr>
        <w:rFonts w:cs="Times New Roman"/>
      </w:rPr>
    </w:pPr>
    <w:r>
      <w:pict>
        <v:shape id="_x0000_s2050" o:spid="_x0000_s2050"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YT0LgRAgAACQQAAA4AAABkcnMvZTJvRG9jLnhtbK1TzY7TMBC+I/EO&#10;lu80aVesStV0VXZVhFSxKxXE2XWcJpL/ZLtNygPAG3Diwp3n6nPw2Wm6aJcT4uJMZsbfzHzzeX7T&#10;KUkOwvnG6IKORzklQnNTNnpX0E8fV6+mlPjAdMmk0aKgR+HpzeLli3lrZ2JiaiNL4QhAtJ+1tqB1&#10;CHaWZZ7XQjE/MlZoBCvjFAv4dbusdKwFupLZJM+vs9a40jrDhffw3vVBukj4VSV4uK8qLwKRBUVv&#10;IZ0undt4Zos5m+0cs3XDz22wf+hCsUaj6AXqjgVG9q55BqUa7ow3VRhxozJTVQ0XaQZMM86fTLOp&#10;mRVpFpDj7YUm//9g+YfDgyNNWdCrN5RoprCj0/dvpx+/Tj+/EvhAUGv9DHkbi8zQvTUdFj34PZxx&#10;7q5yKn4xEUEcVB8v9IouEB4vTSfTaY4QR2z4AX72eN06H94Jo0g0Cuqwv0QrO6x96FOHlFhNm1Uj&#10;Zdqh1KQt6PXV6zxduEQALjVqxCH6ZqMVum13nmxryiMGc6bXhrd81aD4mvnwwBzEgIYh8HCPo5IG&#10;RczZoqQ27svf/DEfO0KUkhbiKqiG+imR7zV2F3U4GG4wtoOh9+rWQK1jPBzLk4kLLsjBrJxRn6H6&#10;ZayBENMclQoaBvM29ALHq+FiuUxJUJtlYa03lkfoSJ63y30AgYnXSErPxJkr6C1t5vw2oqD//E9Z&#10;jy948Rt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zSVju0AAAAAUBAAAPAAAAAAAAAAEAIAAAACIA&#10;AABkcnMvZG93bnJldi54bWxQSwECFAAUAAAACACHTuJA9hPQuBECAAAJBAAADgAAAAAAAAABACAA&#10;AAAfAQAAZHJzL2Uyb0RvYy54bWxQSwUGAAAAAAYABgBZAQAAogUAAAAA&#10;">
          <v:path/>
          <v:fill on="f" focussize="0,0"/>
          <v:stroke on="f" weight="0.5pt" joinstyle="miter"/>
          <v:imagedata o:title=""/>
          <o:lock v:ext="edit"/>
          <v:textbox inset="0mm,0mm,0mm,0mm" style="mso-fit-shape-to-text:t;">
            <w:txbxContent>
              <w:p>
                <w:pPr>
                  <w:pStyle w:val="9"/>
                </w:pPr>
                <w:r>
                  <w:fldChar w:fldCharType="begin"/>
                </w:r>
                <w:r>
                  <w:instrText xml:space="preserve"> PAGE  \* MERGEFORMAT </w:instrText>
                </w:r>
                <w:r>
                  <w:fldChar w:fldCharType="separate"/>
                </w:r>
                <w:r>
                  <w:t>16</w:t>
                </w:r>
                <w:r>
                  <w:fldChar w:fldCharType="end"/>
                </w:r>
              </w:p>
            </w:txbxContent>
          </v:textbox>
        </v:shape>
      </w:pict>
    </w:r>
    <w:r>
      <w:pict>
        <v:shape id="Text Box 1" o:spid="_x0000_s2049" o:spt="202" type="#_x0000_t202" style="position:absolute;left:0pt;margin-top:0pt;height:11pt;width:8.15pt;mso-position-horizontal:center;mso-position-horizontal-relative:margin;mso-wrap-style:none;z-index:251659264;mso-width-relative:page;mso-height-relative:page;" filled="f" stroked="f" coordsize="21600,21600" o:gfxdata="UEsDBAoAAAAAAIdO4kAAAAAAAAAAAAAAAAAEAAAAZHJzL1BLAwQUAAAACACHTuJAoMiFHNAAAAAD&#10;AQAADwAAAGRycy9kb3ducmV2LnhtbE2PwU7DMBBE70j8g7VI3KjdIJUqxOmhEhduFITEbRtv4wh7&#10;Hdlumvw9Lhe4rDSa0czbZjd7JyaKaQisYb1SIIi7YAbuNXy8vzxsQaSMbNAFJg0LJdi1tzcN1iZc&#10;+I2mQ+5FKeFUowab81hLmTpLHtMqjMTFO4XoMRcZe2kiXkq5d7JSaiM9DlwWLI60t9R9H85ew9P8&#10;GWhMtKev09RFOyxb97pofX+3Vs8gMs35LwxX/IIObWE6hjObJJyG8kj+vVdv8wjiqKGqFMi2kf/Z&#10;2x9QSwMEFAAAAAgAh07iQPKQAl3eAQAAtAMAAA4AAABkcnMvZTJvRG9jLnhtbK1TXW/cIBB8r5T/&#10;gHjv2U6Ufljni9JEF1VKm0hJfgDG2EY1LFq4s6+/vgs+X9P2LeoLWsMyzMyO11eTGdheoddgK16s&#10;cs6UldBo21X85Xn7/hNnPgjbiAGsqvhBeX61OXu3Hl2pzqGHoVHICMT6cnQV70NwZZZ52Ssj/Aqc&#10;snTYAhoR6BO7rEExEroZsvM8/5CNgI1DkMp72r2dD/km4betkuGhbb0KbKg4cQtpxbTWcc02a1F2&#10;KFyv5ZGGeAMLI7SlR09QtyIItkP9D5TREsFDG1YSTAZtq6VKGkhNkf+l5qkXTiUtZI53J5v8/4OV&#10;3/ePyHRDsys4s8LQjJ7VFNgXmFgR7RmdL6nryVFfmGibWpNU7+5B/vDMwk0vbKeuEWHslWiIXrqZ&#10;vbo64/gIUo/foKFnxC5AAppaNNE7coMROo3pcBpNpCLjk/nFZX7JmaSj4uLzxzyNLhPlctmhD3cK&#10;DItFxZEmn8DF/t4HkkGtS0t8y8JWD0Oa/mD/2KDGuJPIR74z8zDV09GMGpoDyUCYw0Thp6IH/MnZ&#10;SEGquKWkczZ8tWREzNxS4FLUSyGspIsVD5zN5U2Ys7lzqLuecBerr8msrU5CoqszhyNLikbSd4xx&#10;zN7r79T1+2fb/AJ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gyIUc0AAAAAMBAAAPAAAAAAAAAAEA&#10;IAAAACIAAABkcnMvZG93bnJldi54bWxQSwECFAAUAAAACACHTuJA8pACXd4BAAC0AwAADgAAAAAA&#10;AAABACAAAAAfAQAAZHJzL2Uyb0RvYy54bWxQSwUGAAAAAAYABgBZAQAAbwUAAAAA&#10;">
          <v:path/>
          <v:fill on="f" focussize="0,0"/>
          <v:stroke on="f" joinstyle="miter"/>
          <v:imagedata o:title=""/>
          <o:lock v:ext="edit"/>
          <v:textbox inset="0mm,0mm,0mm,0mm" style="mso-fit-shape-to-text:t;">
            <w:txbxContent>
              <w:p>
                <w:pPr>
                  <w:pStyle w:val="9"/>
                  <w:rPr>
                    <w:rFonts w:cs="Times New Roman"/>
                  </w:rPr>
                </w:pP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F348AE6"/>
    <w:multiLevelType w:val="singleLevel"/>
    <w:tmpl w:val="8F348AE6"/>
    <w:lvl w:ilvl="0" w:tentative="0">
      <w:start w:val="6"/>
      <w:numFmt w:val="decimal"/>
      <w:suff w:val="nothing"/>
      <w:lvlText w:val="%1、"/>
      <w:lvlJc w:val="left"/>
    </w:lvl>
  </w:abstractNum>
  <w:abstractNum w:abstractNumId="1">
    <w:nsid w:val="ADBB67AF"/>
    <w:multiLevelType w:val="singleLevel"/>
    <w:tmpl w:val="ADBB67AF"/>
    <w:lvl w:ilvl="0" w:tentative="0">
      <w:start w:val="2"/>
      <w:numFmt w:val="chineseCounting"/>
      <w:suff w:val="nothing"/>
      <w:lvlText w:val="（%1）"/>
      <w:lvlJc w:val="left"/>
      <w:pPr>
        <w:ind w:left="68"/>
      </w:pPr>
      <w:rPr>
        <w:rFonts w:hint="eastAsia"/>
      </w:rPr>
    </w:lvl>
  </w:abstractNum>
  <w:abstractNum w:abstractNumId="2">
    <w:nsid w:val="165732C3"/>
    <w:multiLevelType w:val="multilevel"/>
    <w:tmpl w:val="165732C3"/>
    <w:lvl w:ilvl="0" w:tentative="0">
      <w:start w:val="1"/>
      <w:numFmt w:val="decimal"/>
      <w:lvlText w:val="（%1）"/>
      <w:lvlJc w:val="left"/>
      <w:pPr>
        <w:ind w:left="1280" w:hanging="720"/>
      </w:pPr>
      <w:rPr>
        <w:rFonts w:hint="default"/>
      </w:rPr>
    </w:lvl>
    <w:lvl w:ilvl="1" w:tentative="0">
      <w:start w:val="1"/>
      <w:numFmt w:val="lowerLetter"/>
      <w:lvlText w:val="%2)"/>
      <w:lvlJc w:val="left"/>
      <w:pPr>
        <w:ind w:left="1400" w:hanging="420"/>
      </w:p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abstractNum w:abstractNumId="3">
    <w:nsid w:val="5DCB104E"/>
    <w:multiLevelType w:val="multilevel"/>
    <w:tmpl w:val="5DCB104E"/>
    <w:lvl w:ilvl="0" w:tentative="0">
      <w:start w:val="1"/>
      <w:numFmt w:val="bullet"/>
      <w:lvlText w:val=""/>
      <w:lvlJc w:val="left"/>
      <w:pPr>
        <w:ind w:left="980" w:hanging="420"/>
      </w:pPr>
      <w:rPr>
        <w:rFonts w:hint="default" w:ascii="Wingdings" w:hAnsi="Wingdings"/>
      </w:rPr>
    </w:lvl>
    <w:lvl w:ilvl="1" w:tentative="0">
      <w:start w:val="1"/>
      <w:numFmt w:val="bullet"/>
      <w:lvlText w:val=""/>
      <w:lvlJc w:val="left"/>
      <w:pPr>
        <w:ind w:left="1400" w:hanging="420"/>
      </w:pPr>
      <w:rPr>
        <w:rFonts w:hint="default" w:ascii="Wingdings" w:hAnsi="Wingdings"/>
      </w:rPr>
    </w:lvl>
    <w:lvl w:ilvl="2" w:tentative="0">
      <w:start w:val="1"/>
      <w:numFmt w:val="bullet"/>
      <w:lvlText w:val=""/>
      <w:lvlJc w:val="left"/>
      <w:pPr>
        <w:ind w:left="1820" w:hanging="420"/>
      </w:pPr>
      <w:rPr>
        <w:rFonts w:hint="default" w:ascii="Wingdings" w:hAnsi="Wingdings"/>
      </w:rPr>
    </w:lvl>
    <w:lvl w:ilvl="3" w:tentative="0">
      <w:start w:val="1"/>
      <w:numFmt w:val="bullet"/>
      <w:lvlText w:val=""/>
      <w:lvlJc w:val="left"/>
      <w:pPr>
        <w:ind w:left="2240" w:hanging="420"/>
      </w:pPr>
      <w:rPr>
        <w:rFonts w:hint="default" w:ascii="Wingdings" w:hAnsi="Wingdings"/>
      </w:rPr>
    </w:lvl>
    <w:lvl w:ilvl="4" w:tentative="0">
      <w:start w:val="1"/>
      <w:numFmt w:val="bullet"/>
      <w:lvlText w:val=""/>
      <w:lvlJc w:val="left"/>
      <w:pPr>
        <w:ind w:left="2660" w:hanging="420"/>
      </w:pPr>
      <w:rPr>
        <w:rFonts w:hint="default" w:ascii="Wingdings" w:hAnsi="Wingdings"/>
      </w:rPr>
    </w:lvl>
    <w:lvl w:ilvl="5" w:tentative="0">
      <w:start w:val="1"/>
      <w:numFmt w:val="bullet"/>
      <w:lvlText w:val=""/>
      <w:lvlJc w:val="left"/>
      <w:pPr>
        <w:ind w:left="3080" w:hanging="420"/>
      </w:pPr>
      <w:rPr>
        <w:rFonts w:hint="default" w:ascii="Wingdings" w:hAnsi="Wingdings"/>
      </w:rPr>
    </w:lvl>
    <w:lvl w:ilvl="6" w:tentative="0">
      <w:start w:val="1"/>
      <w:numFmt w:val="bullet"/>
      <w:lvlText w:val=""/>
      <w:lvlJc w:val="left"/>
      <w:pPr>
        <w:ind w:left="3500" w:hanging="420"/>
      </w:pPr>
      <w:rPr>
        <w:rFonts w:hint="default" w:ascii="Wingdings" w:hAnsi="Wingdings"/>
      </w:rPr>
    </w:lvl>
    <w:lvl w:ilvl="7" w:tentative="0">
      <w:start w:val="1"/>
      <w:numFmt w:val="bullet"/>
      <w:lvlText w:val=""/>
      <w:lvlJc w:val="left"/>
      <w:pPr>
        <w:ind w:left="3920" w:hanging="420"/>
      </w:pPr>
      <w:rPr>
        <w:rFonts w:hint="default" w:ascii="Wingdings" w:hAnsi="Wingdings"/>
      </w:rPr>
    </w:lvl>
    <w:lvl w:ilvl="8" w:tentative="0">
      <w:start w:val="1"/>
      <w:numFmt w:val="bullet"/>
      <w:lvlText w:val=""/>
      <w:lvlJc w:val="left"/>
      <w:pPr>
        <w:ind w:left="4340" w:hanging="420"/>
      </w:pPr>
      <w:rPr>
        <w:rFonts w:hint="default" w:ascii="Wingdings" w:hAnsi="Wingdings"/>
      </w:rPr>
    </w:lvl>
  </w:abstractNum>
  <w:abstractNum w:abstractNumId="4">
    <w:nsid w:val="79308D5D"/>
    <w:multiLevelType w:val="singleLevel"/>
    <w:tmpl w:val="79308D5D"/>
    <w:lvl w:ilvl="0" w:tentative="0">
      <w:start w:val="4"/>
      <w:numFmt w:val="decimal"/>
      <w:suff w:val="space"/>
      <w:lvlText w:val="%1."/>
      <w:lvlJc w:val="left"/>
    </w:lvl>
  </w:abstractNum>
  <w:num w:numId="1">
    <w:abstractNumId w:val="3"/>
  </w:num>
  <w:num w:numId="2">
    <w:abstractNumId w:val="1"/>
  </w:num>
  <w:num w:numId="3">
    <w:abstractNumId w:val="2"/>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nforcement="0"/>
  <w:defaultTabStop w:val="420"/>
  <w:drawingGridHorizontalSpacing w:val="105"/>
  <w:drawingGridVerticalSpacing w:val="156"/>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2"/>
  </w:compat>
  <w:docVars>
    <w:docVar w:name="commondata" w:val="eyJoZGlkIjoiMGJmZDM4NjkzNDMwYjIyZjI0YzhlNWEwMjZkNDcxMDMifQ=="/>
  </w:docVars>
  <w:rsids>
    <w:rsidRoot w:val="00BA5CAB"/>
    <w:rsid w:val="00004199"/>
    <w:rsid w:val="00025204"/>
    <w:rsid w:val="00045347"/>
    <w:rsid w:val="00051AE2"/>
    <w:rsid w:val="000544E4"/>
    <w:rsid w:val="00055DF6"/>
    <w:rsid w:val="00073246"/>
    <w:rsid w:val="000D2B52"/>
    <w:rsid w:val="000D56D2"/>
    <w:rsid w:val="00141E77"/>
    <w:rsid w:val="00150A43"/>
    <w:rsid w:val="001F6D5A"/>
    <w:rsid w:val="00216C29"/>
    <w:rsid w:val="002A7627"/>
    <w:rsid w:val="002C5D44"/>
    <w:rsid w:val="002E7471"/>
    <w:rsid w:val="00324CC1"/>
    <w:rsid w:val="00345B6C"/>
    <w:rsid w:val="003474E7"/>
    <w:rsid w:val="003843E1"/>
    <w:rsid w:val="003A040D"/>
    <w:rsid w:val="003A38FE"/>
    <w:rsid w:val="003D4BFE"/>
    <w:rsid w:val="00415C15"/>
    <w:rsid w:val="00433B1A"/>
    <w:rsid w:val="00443F0F"/>
    <w:rsid w:val="00457BD3"/>
    <w:rsid w:val="00495EB1"/>
    <w:rsid w:val="004E1112"/>
    <w:rsid w:val="004F0011"/>
    <w:rsid w:val="005117DC"/>
    <w:rsid w:val="00512ED5"/>
    <w:rsid w:val="00520423"/>
    <w:rsid w:val="00595F78"/>
    <w:rsid w:val="005A2398"/>
    <w:rsid w:val="005A6972"/>
    <w:rsid w:val="005F0AEC"/>
    <w:rsid w:val="00675BDC"/>
    <w:rsid w:val="006E58BD"/>
    <w:rsid w:val="006F19C8"/>
    <w:rsid w:val="00722AFA"/>
    <w:rsid w:val="00734AB0"/>
    <w:rsid w:val="0076396A"/>
    <w:rsid w:val="0078421A"/>
    <w:rsid w:val="007A1428"/>
    <w:rsid w:val="007A65A3"/>
    <w:rsid w:val="007E440D"/>
    <w:rsid w:val="007F3240"/>
    <w:rsid w:val="00873473"/>
    <w:rsid w:val="00890A10"/>
    <w:rsid w:val="008B1CF0"/>
    <w:rsid w:val="008E3293"/>
    <w:rsid w:val="00937BBF"/>
    <w:rsid w:val="00937FF5"/>
    <w:rsid w:val="009471BA"/>
    <w:rsid w:val="0098551A"/>
    <w:rsid w:val="00990C00"/>
    <w:rsid w:val="00996EE7"/>
    <w:rsid w:val="009A0FF7"/>
    <w:rsid w:val="009A130C"/>
    <w:rsid w:val="009F086C"/>
    <w:rsid w:val="00A153A2"/>
    <w:rsid w:val="00A15FA1"/>
    <w:rsid w:val="00A243B2"/>
    <w:rsid w:val="00AA28E1"/>
    <w:rsid w:val="00AB0AF6"/>
    <w:rsid w:val="00AC0C3A"/>
    <w:rsid w:val="00AD20DB"/>
    <w:rsid w:val="00AD2229"/>
    <w:rsid w:val="00B01928"/>
    <w:rsid w:val="00B15589"/>
    <w:rsid w:val="00B16DD9"/>
    <w:rsid w:val="00BA5CAB"/>
    <w:rsid w:val="00BD5B5D"/>
    <w:rsid w:val="00BF1EB1"/>
    <w:rsid w:val="00BF619D"/>
    <w:rsid w:val="00C564DE"/>
    <w:rsid w:val="00C57CA7"/>
    <w:rsid w:val="00C95EA5"/>
    <w:rsid w:val="00D0627B"/>
    <w:rsid w:val="00D16524"/>
    <w:rsid w:val="00D25978"/>
    <w:rsid w:val="00D81212"/>
    <w:rsid w:val="00DC13F0"/>
    <w:rsid w:val="00DC5FA3"/>
    <w:rsid w:val="00DC7AEA"/>
    <w:rsid w:val="00DF2C9E"/>
    <w:rsid w:val="00E169AF"/>
    <w:rsid w:val="00E80352"/>
    <w:rsid w:val="00E91B61"/>
    <w:rsid w:val="00EB3871"/>
    <w:rsid w:val="00EC0408"/>
    <w:rsid w:val="00EC79D5"/>
    <w:rsid w:val="00EE776D"/>
    <w:rsid w:val="00EF6127"/>
    <w:rsid w:val="00F2224B"/>
    <w:rsid w:val="00F33137"/>
    <w:rsid w:val="00F7654F"/>
    <w:rsid w:val="00F91F6F"/>
    <w:rsid w:val="00F93C4C"/>
    <w:rsid w:val="00FA6DDD"/>
    <w:rsid w:val="01FB4E33"/>
    <w:rsid w:val="02106F53"/>
    <w:rsid w:val="023319B7"/>
    <w:rsid w:val="02D12556"/>
    <w:rsid w:val="05191CE8"/>
    <w:rsid w:val="05CA50B4"/>
    <w:rsid w:val="06FA7827"/>
    <w:rsid w:val="093252D2"/>
    <w:rsid w:val="096D187B"/>
    <w:rsid w:val="09DA1FA5"/>
    <w:rsid w:val="0B3235AF"/>
    <w:rsid w:val="0C1C5F86"/>
    <w:rsid w:val="0D726F16"/>
    <w:rsid w:val="0D953AB0"/>
    <w:rsid w:val="0DE67F95"/>
    <w:rsid w:val="0E9263E7"/>
    <w:rsid w:val="0EB70EAC"/>
    <w:rsid w:val="0F2273B1"/>
    <w:rsid w:val="10DD78B9"/>
    <w:rsid w:val="116A72F6"/>
    <w:rsid w:val="117C3AC7"/>
    <w:rsid w:val="118D7090"/>
    <w:rsid w:val="12455E0A"/>
    <w:rsid w:val="127B15D7"/>
    <w:rsid w:val="12AA69E9"/>
    <w:rsid w:val="12F711C4"/>
    <w:rsid w:val="13DD7ADC"/>
    <w:rsid w:val="14625481"/>
    <w:rsid w:val="155B5616"/>
    <w:rsid w:val="15A45B0E"/>
    <w:rsid w:val="15A70DF7"/>
    <w:rsid w:val="16F412D7"/>
    <w:rsid w:val="17ED328F"/>
    <w:rsid w:val="17ED4C62"/>
    <w:rsid w:val="18A67676"/>
    <w:rsid w:val="18C65494"/>
    <w:rsid w:val="19AD271C"/>
    <w:rsid w:val="19D50B8B"/>
    <w:rsid w:val="19EB791F"/>
    <w:rsid w:val="1A8D0350"/>
    <w:rsid w:val="1BFF52B2"/>
    <w:rsid w:val="1C985720"/>
    <w:rsid w:val="1DAE05CE"/>
    <w:rsid w:val="1E1C403F"/>
    <w:rsid w:val="1E572936"/>
    <w:rsid w:val="1FF400AD"/>
    <w:rsid w:val="21DD0233"/>
    <w:rsid w:val="22736813"/>
    <w:rsid w:val="22913580"/>
    <w:rsid w:val="230D0704"/>
    <w:rsid w:val="23787408"/>
    <w:rsid w:val="23A429EF"/>
    <w:rsid w:val="23B567AD"/>
    <w:rsid w:val="240A76FE"/>
    <w:rsid w:val="24DB208C"/>
    <w:rsid w:val="24DC10F9"/>
    <w:rsid w:val="26AA5F89"/>
    <w:rsid w:val="27AF5582"/>
    <w:rsid w:val="280015A7"/>
    <w:rsid w:val="282A71E5"/>
    <w:rsid w:val="28712E80"/>
    <w:rsid w:val="28E56600"/>
    <w:rsid w:val="29680C43"/>
    <w:rsid w:val="29B437C1"/>
    <w:rsid w:val="2A4E4CD4"/>
    <w:rsid w:val="2B246D5E"/>
    <w:rsid w:val="2B3B360F"/>
    <w:rsid w:val="2B410426"/>
    <w:rsid w:val="2C343B42"/>
    <w:rsid w:val="2D6653A6"/>
    <w:rsid w:val="2EC414FA"/>
    <w:rsid w:val="2F94470D"/>
    <w:rsid w:val="2FE94DDB"/>
    <w:rsid w:val="30213F3D"/>
    <w:rsid w:val="312D4C89"/>
    <w:rsid w:val="332E1071"/>
    <w:rsid w:val="337E7650"/>
    <w:rsid w:val="339E1AAF"/>
    <w:rsid w:val="35E2135E"/>
    <w:rsid w:val="361F6248"/>
    <w:rsid w:val="36DE6C01"/>
    <w:rsid w:val="37105629"/>
    <w:rsid w:val="374F64B7"/>
    <w:rsid w:val="377A55CE"/>
    <w:rsid w:val="385B7DDB"/>
    <w:rsid w:val="398B086E"/>
    <w:rsid w:val="39DA1AB6"/>
    <w:rsid w:val="3B83721C"/>
    <w:rsid w:val="3CD44B99"/>
    <w:rsid w:val="3D03074E"/>
    <w:rsid w:val="3E9F755B"/>
    <w:rsid w:val="3F340CBD"/>
    <w:rsid w:val="3F520DC1"/>
    <w:rsid w:val="402A2637"/>
    <w:rsid w:val="418264E9"/>
    <w:rsid w:val="41A2757B"/>
    <w:rsid w:val="42652BCB"/>
    <w:rsid w:val="442B35C2"/>
    <w:rsid w:val="444E3F01"/>
    <w:rsid w:val="44642B07"/>
    <w:rsid w:val="455917A3"/>
    <w:rsid w:val="461B2C27"/>
    <w:rsid w:val="46504A5F"/>
    <w:rsid w:val="46B62B8D"/>
    <w:rsid w:val="489C029B"/>
    <w:rsid w:val="48A6756F"/>
    <w:rsid w:val="49721275"/>
    <w:rsid w:val="49733A0B"/>
    <w:rsid w:val="4A7D4750"/>
    <w:rsid w:val="4AEF0195"/>
    <w:rsid w:val="4B4E6E37"/>
    <w:rsid w:val="4B7414FE"/>
    <w:rsid w:val="4C7B379D"/>
    <w:rsid w:val="4EC37ABD"/>
    <w:rsid w:val="4F35416F"/>
    <w:rsid w:val="4FEC1657"/>
    <w:rsid w:val="50AF23B2"/>
    <w:rsid w:val="51310998"/>
    <w:rsid w:val="5188194C"/>
    <w:rsid w:val="518E3705"/>
    <w:rsid w:val="51B72240"/>
    <w:rsid w:val="51C21097"/>
    <w:rsid w:val="525C58C5"/>
    <w:rsid w:val="53321D45"/>
    <w:rsid w:val="56017346"/>
    <w:rsid w:val="561A7DEA"/>
    <w:rsid w:val="56DC1BB5"/>
    <w:rsid w:val="593B0803"/>
    <w:rsid w:val="5B0C31EB"/>
    <w:rsid w:val="5B1E2471"/>
    <w:rsid w:val="5B8B7D96"/>
    <w:rsid w:val="5BA27E27"/>
    <w:rsid w:val="5BAF3F75"/>
    <w:rsid w:val="5BFD163C"/>
    <w:rsid w:val="5DAF3D91"/>
    <w:rsid w:val="5EF506AD"/>
    <w:rsid w:val="61261F92"/>
    <w:rsid w:val="623251DF"/>
    <w:rsid w:val="62E014A9"/>
    <w:rsid w:val="63470278"/>
    <w:rsid w:val="63646DE0"/>
    <w:rsid w:val="646216CA"/>
    <w:rsid w:val="673E2B3C"/>
    <w:rsid w:val="68543A41"/>
    <w:rsid w:val="68EE6351"/>
    <w:rsid w:val="6912306F"/>
    <w:rsid w:val="699704CB"/>
    <w:rsid w:val="69DD2AB5"/>
    <w:rsid w:val="6B9E2257"/>
    <w:rsid w:val="6BBA367A"/>
    <w:rsid w:val="6C936BD6"/>
    <w:rsid w:val="6CCE6E1B"/>
    <w:rsid w:val="6CEF0EC6"/>
    <w:rsid w:val="6D490465"/>
    <w:rsid w:val="6E136D4E"/>
    <w:rsid w:val="6FBD1759"/>
    <w:rsid w:val="6FD263D6"/>
    <w:rsid w:val="70020AF6"/>
    <w:rsid w:val="70827A29"/>
    <w:rsid w:val="716B0D8D"/>
    <w:rsid w:val="72926013"/>
    <w:rsid w:val="72F6124C"/>
    <w:rsid w:val="7405632C"/>
    <w:rsid w:val="750556C0"/>
    <w:rsid w:val="76301117"/>
    <w:rsid w:val="787B00C2"/>
    <w:rsid w:val="79856DD0"/>
    <w:rsid w:val="7A8314EA"/>
    <w:rsid w:val="7B215F86"/>
    <w:rsid w:val="7B3F280D"/>
    <w:rsid w:val="7CF770FA"/>
    <w:rsid w:val="7D0B7ECF"/>
    <w:rsid w:val="7F2A2CFA"/>
    <w:rsid w:val="7F4E27D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link w:val="22"/>
    <w:semiHidden/>
    <w:unhideWhenUsed/>
    <w:qFormat/>
    <w:uiPriority w:val="0"/>
    <w:pPr>
      <w:ind w:firstLine="562" w:firstLineChars="200"/>
      <w:outlineLvl w:val="1"/>
    </w:pPr>
    <w:rPr>
      <w:b/>
      <w:sz w:val="28"/>
    </w:rPr>
  </w:style>
  <w:style w:type="paragraph" w:styleId="3">
    <w:name w:val="heading 3"/>
    <w:basedOn w:val="1"/>
    <w:next w:val="1"/>
    <w:link w:val="23"/>
    <w:semiHidden/>
    <w:unhideWhenUsed/>
    <w:qFormat/>
    <w:uiPriority w:val="0"/>
    <w:pPr>
      <w:ind w:firstLine="560" w:firstLineChars="200"/>
      <w:outlineLvl w:val="2"/>
    </w:pPr>
    <w:rPr>
      <w:sz w:val="28"/>
    </w:rPr>
  </w:style>
  <w:style w:type="paragraph" w:styleId="4">
    <w:name w:val="heading 4"/>
    <w:basedOn w:val="1"/>
    <w:next w:val="1"/>
    <w:link w:val="24"/>
    <w:unhideWhenUsed/>
    <w:qFormat/>
    <w:uiPriority w:val="9"/>
    <w:pPr>
      <w:ind w:firstLine="560" w:firstLineChars="200"/>
      <w:outlineLvl w:val="3"/>
    </w:pPr>
    <w:rPr>
      <w:sz w:val="28"/>
    </w:rPr>
  </w:style>
  <w:style w:type="paragraph" w:styleId="5">
    <w:name w:val="heading 5"/>
    <w:basedOn w:val="1"/>
    <w:next w:val="1"/>
    <w:link w:val="25"/>
    <w:semiHidden/>
    <w:unhideWhenUsed/>
    <w:qFormat/>
    <w:uiPriority w:val="0"/>
    <w:pPr>
      <w:ind w:firstLine="560" w:firstLineChars="200"/>
      <w:outlineLvl w:val="4"/>
    </w:pPr>
    <w:rPr>
      <w:sz w:val="28"/>
    </w:rPr>
  </w:style>
  <w:style w:type="character" w:default="1" w:styleId="15">
    <w:name w:val="Default Paragraph Font"/>
    <w:semiHidden/>
    <w:unhideWhenUsed/>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link w:val="27"/>
    <w:qFormat/>
    <w:uiPriority w:val="0"/>
    <w:pPr>
      <w:jc w:val="left"/>
    </w:pPr>
  </w:style>
  <w:style w:type="paragraph" w:styleId="7">
    <w:name w:val="toc 3"/>
    <w:basedOn w:val="1"/>
    <w:next w:val="1"/>
    <w:qFormat/>
    <w:uiPriority w:val="39"/>
    <w:pPr>
      <w:ind w:left="840" w:leftChars="400"/>
    </w:pPr>
  </w:style>
  <w:style w:type="paragraph" w:styleId="8">
    <w:name w:val="Balloon Text"/>
    <w:basedOn w:val="1"/>
    <w:link w:val="26"/>
    <w:qFormat/>
    <w:uiPriority w:val="0"/>
    <w:rPr>
      <w:sz w:val="18"/>
      <w:szCs w:val="18"/>
    </w:rPr>
  </w:style>
  <w:style w:type="paragraph" w:styleId="9">
    <w:name w:val="footer"/>
    <w:basedOn w:val="1"/>
    <w:link w:val="20"/>
    <w:qFormat/>
    <w:uiPriority w:val="99"/>
    <w:pPr>
      <w:tabs>
        <w:tab w:val="center" w:pos="4153"/>
        <w:tab w:val="right" w:pos="8306"/>
      </w:tabs>
      <w:snapToGrid w:val="0"/>
      <w:jc w:val="left"/>
    </w:pPr>
    <w:rPr>
      <w:sz w:val="18"/>
      <w:szCs w:val="18"/>
    </w:rPr>
  </w:style>
  <w:style w:type="paragraph" w:styleId="10">
    <w:name w:val="header"/>
    <w:basedOn w:val="1"/>
    <w:link w:val="19"/>
    <w:qFormat/>
    <w:uiPriority w:val="99"/>
    <w:pPr>
      <w:pBdr>
        <w:bottom w:val="single" w:color="auto" w:sz="6" w:space="1"/>
      </w:pBdr>
      <w:tabs>
        <w:tab w:val="center" w:pos="4153"/>
        <w:tab w:val="right" w:pos="8306"/>
      </w:tabs>
      <w:snapToGrid w:val="0"/>
      <w:jc w:val="center"/>
    </w:pPr>
    <w:rPr>
      <w:sz w:val="18"/>
      <w:szCs w:val="18"/>
    </w:rPr>
  </w:style>
  <w:style w:type="paragraph" w:styleId="11">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12">
    <w:name w:val="annotation subject"/>
    <w:basedOn w:val="6"/>
    <w:next w:val="6"/>
    <w:link w:val="28"/>
    <w:qFormat/>
    <w:uiPriority w:val="0"/>
    <w:rPr>
      <w:b/>
      <w:bCs/>
    </w:rPr>
  </w:style>
  <w:style w:type="table" w:styleId="14">
    <w:name w:val="Table Grid"/>
    <w:basedOn w:val="13"/>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6">
    <w:name w:val="Emphasis"/>
    <w:qFormat/>
    <w:uiPriority w:val="0"/>
    <w:rPr>
      <w:color w:val="CC0000"/>
    </w:rPr>
  </w:style>
  <w:style w:type="character" w:styleId="17">
    <w:name w:val="Hyperlink"/>
    <w:basedOn w:val="15"/>
    <w:qFormat/>
    <w:uiPriority w:val="0"/>
    <w:rPr>
      <w:color w:val="0000FF"/>
      <w:u w:val="single"/>
    </w:rPr>
  </w:style>
  <w:style w:type="character" w:styleId="18">
    <w:name w:val="annotation reference"/>
    <w:basedOn w:val="15"/>
    <w:qFormat/>
    <w:uiPriority w:val="0"/>
    <w:rPr>
      <w:sz w:val="21"/>
      <w:szCs w:val="21"/>
    </w:rPr>
  </w:style>
  <w:style w:type="character" w:customStyle="1" w:styleId="19">
    <w:name w:val="页眉 Char"/>
    <w:basedOn w:val="15"/>
    <w:link w:val="10"/>
    <w:qFormat/>
    <w:uiPriority w:val="99"/>
    <w:rPr>
      <w:sz w:val="18"/>
      <w:szCs w:val="18"/>
    </w:rPr>
  </w:style>
  <w:style w:type="character" w:customStyle="1" w:styleId="20">
    <w:name w:val="页脚 Char"/>
    <w:basedOn w:val="15"/>
    <w:link w:val="9"/>
    <w:qFormat/>
    <w:uiPriority w:val="99"/>
    <w:rPr>
      <w:sz w:val="18"/>
      <w:szCs w:val="18"/>
    </w:rPr>
  </w:style>
  <w:style w:type="paragraph" w:styleId="21">
    <w:name w:val="List Paragraph"/>
    <w:basedOn w:val="1"/>
    <w:qFormat/>
    <w:uiPriority w:val="34"/>
    <w:pPr>
      <w:ind w:firstLine="420" w:firstLineChars="200"/>
    </w:pPr>
  </w:style>
  <w:style w:type="character" w:customStyle="1" w:styleId="22">
    <w:name w:val="标题 2 Char"/>
    <w:basedOn w:val="15"/>
    <w:link w:val="2"/>
    <w:qFormat/>
    <w:uiPriority w:val="9"/>
    <w:rPr>
      <w:b/>
      <w:sz w:val="28"/>
    </w:rPr>
  </w:style>
  <w:style w:type="character" w:customStyle="1" w:styleId="23">
    <w:name w:val="标题 3 Char"/>
    <w:basedOn w:val="15"/>
    <w:link w:val="3"/>
    <w:qFormat/>
    <w:uiPriority w:val="9"/>
    <w:rPr>
      <w:sz w:val="28"/>
    </w:rPr>
  </w:style>
  <w:style w:type="character" w:customStyle="1" w:styleId="24">
    <w:name w:val="标题 4 Char"/>
    <w:basedOn w:val="15"/>
    <w:link w:val="4"/>
    <w:qFormat/>
    <w:uiPriority w:val="9"/>
    <w:rPr>
      <w:sz w:val="28"/>
    </w:rPr>
  </w:style>
  <w:style w:type="character" w:customStyle="1" w:styleId="25">
    <w:name w:val="标题 5 Char"/>
    <w:basedOn w:val="15"/>
    <w:link w:val="5"/>
    <w:qFormat/>
    <w:uiPriority w:val="9"/>
    <w:rPr>
      <w:sz w:val="28"/>
    </w:rPr>
  </w:style>
  <w:style w:type="character" w:customStyle="1" w:styleId="26">
    <w:name w:val="批注框文本 Char"/>
    <w:basedOn w:val="15"/>
    <w:link w:val="8"/>
    <w:semiHidden/>
    <w:qFormat/>
    <w:uiPriority w:val="99"/>
    <w:rPr>
      <w:rFonts w:asciiTheme="minorHAnsi" w:hAnsiTheme="minorHAnsi" w:eastAsiaTheme="minorEastAsia" w:cstheme="minorBidi"/>
      <w:kern w:val="2"/>
      <w:sz w:val="18"/>
      <w:szCs w:val="18"/>
    </w:rPr>
  </w:style>
  <w:style w:type="character" w:customStyle="1" w:styleId="27">
    <w:name w:val="批注文字 Char"/>
    <w:basedOn w:val="15"/>
    <w:link w:val="6"/>
    <w:semiHidden/>
    <w:qFormat/>
    <w:uiPriority w:val="99"/>
    <w:rPr>
      <w:rFonts w:asciiTheme="minorHAnsi" w:hAnsiTheme="minorHAnsi" w:eastAsiaTheme="minorEastAsia" w:cstheme="minorBidi"/>
      <w:kern w:val="2"/>
      <w:sz w:val="21"/>
      <w:szCs w:val="22"/>
    </w:rPr>
  </w:style>
  <w:style w:type="character" w:customStyle="1" w:styleId="28">
    <w:name w:val="批注主题 Char"/>
    <w:basedOn w:val="27"/>
    <w:link w:val="12"/>
    <w:semiHidden/>
    <w:qFormat/>
    <w:uiPriority w:val="99"/>
    <w:rPr>
      <w:rFonts w:asciiTheme="minorHAnsi" w:hAnsiTheme="minorHAnsi" w:eastAsiaTheme="minorEastAsia" w:cstheme="minorBidi"/>
      <w:b/>
      <w:bCs/>
      <w:kern w:val="2"/>
      <w:sz w:val="21"/>
      <w:szCs w:val="22"/>
    </w:rPr>
  </w:style>
  <w:style w:type="paragraph" w:customStyle="1" w:styleId="29">
    <w:name w:val="列出段落3"/>
    <w:basedOn w:val="1"/>
    <w:qFormat/>
    <w:uiPriority w:val="0"/>
    <w:pPr>
      <w:ind w:firstLine="420" w:firstLineChars="200"/>
    </w:pPr>
    <w:rPr>
      <w:rFonts w:ascii="Calibri" w:hAnsi="Calibri" w:eastAsia="宋体" w:cs="Times New Roman"/>
      <w:kern w:val="0"/>
      <w:sz w:val="20"/>
      <w:szCs w:val="20"/>
    </w:rPr>
  </w:style>
  <w:style w:type="character" w:customStyle="1" w:styleId="30">
    <w:name w:val="font61"/>
    <w:basedOn w:val="15"/>
    <w:qFormat/>
    <w:uiPriority w:val="0"/>
    <w:rPr>
      <w:rFonts w:hint="eastAsia" w:ascii="宋体" w:hAnsi="宋体" w:eastAsia="宋体" w:cs="宋体"/>
      <w:color w:val="000000"/>
      <w:sz w:val="18"/>
      <w:szCs w:val="18"/>
      <w:u w:val="none"/>
    </w:rPr>
  </w:style>
  <w:style w:type="character" w:customStyle="1" w:styleId="31">
    <w:name w:val="fontstyle01"/>
    <w:basedOn w:val="15"/>
    <w:qFormat/>
    <w:uiPriority w:val="0"/>
    <w:rPr>
      <w:rFonts w:hint="eastAsia" w:ascii="宋体" w:hAnsi="宋体" w:eastAsia="宋体"/>
      <w:color w:val="000000"/>
      <w:sz w:val="22"/>
      <w:szCs w:val="22"/>
    </w:r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2050"/>
    <customShpInfo spid="_x0000_s2049"/>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9C6276C-9E4B-481F-B090-32BB29E88867}">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23</Pages>
  <Words>16325</Words>
  <Characters>3440</Characters>
  <Lines>28</Lines>
  <Paragraphs>39</Paragraphs>
  <TotalTime>2</TotalTime>
  <ScaleCrop>false</ScaleCrop>
  <LinksUpToDate>false</LinksUpToDate>
  <CharactersWithSpaces>19726</CharactersWithSpaces>
  <Application>WPS Office_11.8.6.8811_F1E327BC-269C-435d-A152-05C5408002CA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2024-04-14T02:39:00Z</dcterms:created>
  <dc:creator>华少</dc:creator>
  <cp:lastModifiedBy>李世池</cp:lastModifiedBy>
  <dcterms:modified xsi:type="dcterms:W3CDTF">2026-05-07T09:40:09Z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2052-11.8.6.8811</vt:lpwstr>
  </property>
  <property fmtid="{D5CDD505-2E9C-101B-9397-08002B2CF9AE}" pid="3" name="ICV">
    <vt:lpwstr>4CEB9095BB1E48ED94163442EFC41A2C_13</vt:lpwstr>
  </property>
  <property fmtid="{D5CDD505-2E9C-101B-9397-08002B2CF9AE}" pid="4" name="KSOTemplateDocerSaveRecord">
    <vt:lpwstr>eyJoZGlkIjoiMzEwNTM5NzYwMDRjMzkwZTVkZjY2ODkwMGIxNGU0OTUiLCJ1c2VySWQiOiI2MTQ5NTQ4MzkifQ==</vt:lpwstr>
  </property>
</Properties>
</file>